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09" w:rsidRDefault="00F85F35" w:rsidP="00384031">
      <w:pPr>
        <w:jc w:val="center"/>
        <w:rPr>
          <w:b/>
          <w:bCs/>
          <w:sz w:val="22"/>
          <w:szCs w:val="22"/>
        </w:rPr>
      </w:pPr>
      <w:r w:rsidRPr="009E5909">
        <w:rPr>
          <w:b/>
          <w:bCs/>
          <w:sz w:val="22"/>
          <w:szCs w:val="22"/>
        </w:rPr>
        <w:t xml:space="preserve">Сообщение </w:t>
      </w:r>
      <w:r w:rsidR="009E5909">
        <w:rPr>
          <w:b/>
          <w:bCs/>
          <w:sz w:val="22"/>
          <w:szCs w:val="22"/>
        </w:rPr>
        <w:t xml:space="preserve">о существенном факте </w:t>
      </w:r>
    </w:p>
    <w:p w:rsidR="009E5909" w:rsidRPr="009E5909" w:rsidRDefault="009E5909" w:rsidP="009E5909">
      <w:pPr>
        <w:jc w:val="center"/>
        <w:rPr>
          <w:b/>
          <w:bCs/>
          <w:sz w:val="22"/>
          <w:szCs w:val="22"/>
        </w:rPr>
      </w:pPr>
      <w:r>
        <w:rPr>
          <w:b/>
          <w:bCs/>
          <w:sz w:val="22"/>
          <w:szCs w:val="22"/>
        </w:rPr>
        <w:t>«О</w:t>
      </w:r>
      <w:r w:rsidRPr="008740BB">
        <w:rPr>
          <w:b/>
          <w:bCs/>
          <w:sz w:val="22"/>
          <w:szCs w:val="22"/>
        </w:rPr>
        <w:t>б этапах процедуры</w:t>
      </w:r>
      <w:r>
        <w:rPr>
          <w:b/>
          <w:bCs/>
          <w:sz w:val="22"/>
          <w:szCs w:val="22"/>
        </w:rPr>
        <w:t xml:space="preserve"> </w:t>
      </w:r>
      <w:r w:rsidRPr="008740BB">
        <w:rPr>
          <w:b/>
          <w:bCs/>
          <w:sz w:val="22"/>
          <w:szCs w:val="22"/>
        </w:rPr>
        <w:t>эмиссии ценных бумаг эмитента</w:t>
      </w:r>
      <w:r>
        <w:rPr>
          <w:b/>
          <w:bCs/>
          <w:sz w:val="22"/>
          <w:szCs w:val="22"/>
        </w:rPr>
        <w:t>»</w:t>
      </w:r>
    </w:p>
    <w:p w:rsidR="009E5909" w:rsidRDefault="009E5909" w:rsidP="00384031">
      <w:pPr>
        <w:jc w:val="center"/>
        <w:rPr>
          <w:b/>
          <w:bCs/>
          <w:sz w:val="22"/>
          <w:szCs w:val="22"/>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gridCol w:w="5670"/>
      </w:tblGrid>
      <w:tr w:rsidR="00D0309C" w:rsidRPr="009E5909" w:rsidTr="00602626">
        <w:tc>
          <w:tcPr>
            <w:tcW w:w="10234" w:type="dxa"/>
            <w:gridSpan w:val="2"/>
            <w:tcBorders>
              <w:top w:val="single" w:sz="4" w:space="0" w:color="auto"/>
              <w:left w:val="single" w:sz="4" w:space="0" w:color="auto"/>
              <w:bottom w:val="single" w:sz="4" w:space="0" w:color="auto"/>
              <w:right w:val="single" w:sz="4" w:space="0" w:color="auto"/>
            </w:tcBorders>
          </w:tcPr>
          <w:p w:rsidR="00D0309C" w:rsidRPr="009E5909" w:rsidRDefault="00D0309C" w:rsidP="00384031">
            <w:pPr>
              <w:jc w:val="center"/>
              <w:rPr>
                <w:b/>
                <w:sz w:val="22"/>
                <w:szCs w:val="22"/>
              </w:rPr>
            </w:pPr>
            <w:r w:rsidRPr="009E5909">
              <w:rPr>
                <w:b/>
                <w:sz w:val="22"/>
                <w:szCs w:val="22"/>
              </w:rPr>
              <w:t>1. Общие сведения</w:t>
            </w:r>
          </w:p>
        </w:tc>
      </w:tr>
      <w:tr w:rsidR="00A94398" w:rsidRPr="009E5909" w:rsidTr="00602626">
        <w:tc>
          <w:tcPr>
            <w:tcW w:w="4564" w:type="dxa"/>
            <w:tcBorders>
              <w:top w:val="single" w:sz="4" w:space="0" w:color="auto"/>
              <w:left w:val="single" w:sz="4" w:space="0" w:color="auto"/>
              <w:bottom w:val="single" w:sz="4" w:space="0" w:color="auto"/>
              <w:right w:val="single" w:sz="4" w:space="0" w:color="auto"/>
            </w:tcBorders>
          </w:tcPr>
          <w:p w:rsidR="00A94398" w:rsidRPr="009E5909" w:rsidRDefault="00A94398" w:rsidP="005C77CB">
            <w:pPr>
              <w:ind w:left="57" w:right="57"/>
              <w:jc w:val="both"/>
              <w:rPr>
                <w:sz w:val="22"/>
                <w:szCs w:val="22"/>
              </w:rPr>
            </w:pPr>
            <w:r w:rsidRPr="009E5909">
              <w:rPr>
                <w:sz w:val="22"/>
                <w:szCs w:val="22"/>
              </w:rPr>
              <w:t xml:space="preserve">1.1. Полное фирменное наименование эмитента </w:t>
            </w:r>
          </w:p>
        </w:tc>
        <w:tc>
          <w:tcPr>
            <w:tcW w:w="5670" w:type="dxa"/>
            <w:tcBorders>
              <w:top w:val="single" w:sz="4" w:space="0" w:color="auto"/>
              <w:left w:val="single" w:sz="4" w:space="0" w:color="auto"/>
              <w:bottom w:val="single" w:sz="4" w:space="0" w:color="auto"/>
              <w:right w:val="single" w:sz="4" w:space="0" w:color="auto"/>
            </w:tcBorders>
            <w:vAlign w:val="center"/>
          </w:tcPr>
          <w:p w:rsidR="00A94398" w:rsidRPr="00483D05" w:rsidRDefault="00483D05" w:rsidP="006B5A98">
            <w:pPr>
              <w:ind w:left="57" w:right="57"/>
              <w:jc w:val="both"/>
              <w:rPr>
                <w:b/>
                <w:sz w:val="22"/>
                <w:szCs w:val="22"/>
              </w:rPr>
            </w:pPr>
            <w:r w:rsidRPr="00483D05">
              <w:rPr>
                <w:b/>
                <w:sz w:val="22"/>
                <w:szCs w:val="22"/>
              </w:rPr>
              <w:t xml:space="preserve">Закрытое акционерное общество </w:t>
            </w:r>
            <w:r w:rsidR="006B5A98">
              <w:rPr>
                <w:b/>
                <w:sz w:val="22"/>
                <w:szCs w:val="22"/>
              </w:rPr>
              <w:t>«</w:t>
            </w:r>
            <w:r w:rsidRPr="00483D05">
              <w:rPr>
                <w:b/>
                <w:sz w:val="22"/>
                <w:szCs w:val="22"/>
              </w:rPr>
              <w:t>О</w:t>
            </w:r>
            <w:proofErr w:type="gramStart"/>
            <w:r w:rsidRPr="00483D05">
              <w:rPr>
                <w:b/>
                <w:sz w:val="22"/>
                <w:szCs w:val="22"/>
              </w:rPr>
              <w:t>1</w:t>
            </w:r>
            <w:proofErr w:type="gramEnd"/>
            <w:r w:rsidRPr="00483D05">
              <w:rPr>
                <w:b/>
                <w:sz w:val="22"/>
                <w:szCs w:val="22"/>
              </w:rPr>
              <w:t xml:space="preserve"> </w:t>
            </w:r>
            <w:proofErr w:type="spellStart"/>
            <w:r w:rsidRPr="00483D05">
              <w:rPr>
                <w:b/>
                <w:sz w:val="22"/>
                <w:szCs w:val="22"/>
              </w:rPr>
              <w:t>Пропертиз</w:t>
            </w:r>
            <w:proofErr w:type="spellEnd"/>
            <w:r w:rsidRPr="00483D05">
              <w:rPr>
                <w:b/>
                <w:sz w:val="22"/>
                <w:szCs w:val="22"/>
              </w:rPr>
              <w:t xml:space="preserve"> </w:t>
            </w:r>
            <w:proofErr w:type="spellStart"/>
            <w:r w:rsidRPr="00483D05">
              <w:rPr>
                <w:b/>
                <w:sz w:val="22"/>
                <w:szCs w:val="22"/>
              </w:rPr>
              <w:t>Финанс</w:t>
            </w:r>
            <w:proofErr w:type="spellEnd"/>
            <w:r w:rsidR="006B5A98">
              <w:rPr>
                <w:b/>
                <w:sz w:val="22"/>
                <w:szCs w:val="22"/>
              </w:rPr>
              <w:t>»</w:t>
            </w:r>
          </w:p>
        </w:tc>
      </w:tr>
      <w:tr w:rsidR="00A94398" w:rsidRPr="009E5909" w:rsidTr="00602626">
        <w:tc>
          <w:tcPr>
            <w:tcW w:w="4564" w:type="dxa"/>
            <w:tcBorders>
              <w:top w:val="single" w:sz="4" w:space="0" w:color="auto"/>
              <w:left w:val="single" w:sz="4" w:space="0" w:color="auto"/>
              <w:bottom w:val="single" w:sz="4" w:space="0" w:color="auto"/>
              <w:right w:val="single" w:sz="4" w:space="0" w:color="auto"/>
            </w:tcBorders>
          </w:tcPr>
          <w:p w:rsidR="00A94398" w:rsidRPr="009E5909" w:rsidRDefault="00A94398" w:rsidP="00602626">
            <w:pPr>
              <w:ind w:left="57" w:right="57"/>
              <w:jc w:val="both"/>
              <w:rPr>
                <w:sz w:val="22"/>
                <w:szCs w:val="22"/>
              </w:rPr>
            </w:pPr>
            <w:r w:rsidRPr="009E5909">
              <w:rPr>
                <w:sz w:val="22"/>
                <w:szCs w:val="22"/>
              </w:rPr>
              <w:t>1.2. Сокращенное фирменное наименование эмитента</w:t>
            </w:r>
          </w:p>
        </w:tc>
        <w:tc>
          <w:tcPr>
            <w:tcW w:w="5670" w:type="dxa"/>
            <w:tcBorders>
              <w:top w:val="single" w:sz="4" w:space="0" w:color="auto"/>
              <w:left w:val="single" w:sz="4" w:space="0" w:color="auto"/>
              <w:bottom w:val="single" w:sz="4" w:space="0" w:color="auto"/>
              <w:right w:val="single" w:sz="4" w:space="0" w:color="auto"/>
            </w:tcBorders>
            <w:vAlign w:val="center"/>
          </w:tcPr>
          <w:p w:rsidR="00A94398" w:rsidRPr="00483D05" w:rsidRDefault="00483D05" w:rsidP="006B5A98">
            <w:pPr>
              <w:ind w:left="57" w:right="57"/>
              <w:jc w:val="both"/>
              <w:rPr>
                <w:b/>
                <w:sz w:val="22"/>
                <w:szCs w:val="22"/>
              </w:rPr>
            </w:pPr>
            <w:r w:rsidRPr="00483D05">
              <w:rPr>
                <w:b/>
                <w:sz w:val="22"/>
                <w:szCs w:val="22"/>
              </w:rPr>
              <w:t xml:space="preserve">ЗАО </w:t>
            </w:r>
            <w:r w:rsidR="006B5A98">
              <w:rPr>
                <w:b/>
                <w:sz w:val="22"/>
                <w:szCs w:val="22"/>
              </w:rPr>
              <w:t>«</w:t>
            </w:r>
            <w:r w:rsidRPr="00483D05">
              <w:rPr>
                <w:b/>
                <w:sz w:val="22"/>
                <w:szCs w:val="22"/>
              </w:rPr>
              <w:t>О</w:t>
            </w:r>
            <w:proofErr w:type="gramStart"/>
            <w:r w:rsidRPr="00483D05">
              <w:rPr>
                <w:b/>
                <w:sz w:val="22"/>
                <w:szCs w:val="22"/>
              </w:rPr>
              <w:t>1</w:t>
            </w:r>
            <w:proofErr w:type="gramEnd"/>
            <w:r w:rsidRPr="00483D05">
              <w:rPr>
                <w:b/>
                <w:sz w:val="22"/>
                <w:szCs w:val="22"/>
              </w:rPr>
              <w:t xml:space="preserve"> </w:t>
            </w:r>
            <w:proofErr w:type="spellStart"/>
            <w:r w:rsidRPr="00483D05">
              <w:rPr>
                <w:b/>
                <w:sz w:val="22"/>
                <w:szCs w:val="22"/>
              </w:rPr>
              <w:t>Пропертиз</w:t>
            </w:r>
            <w:proofErr w:type="spellEnd"/>
            <w:r w:rsidRPr="00483D05">
              <w:rPr>
                <w:b/>
                <w:sz w:val="22"/>
                <w:szCs w:val="22"/>
              </w:rPr>
              <w:t xml:space="preserve"> </w:t>
            </w:r>
            <w:proofErr w:type="spellStart"/>
            <w:r w:rsidRPr="00483D05">
              <w:rPr>
                <w:b/>
                <w:sz w:val="22"/>
                <w:szCs w:val="22"/>
              </w:rPr>
              <w:t>Финанс</w:t>
            </w:r>
            <w:proofErr w:type="spellEnd"/>
            <w:r w:rsidR="006B5A98">
              <w:rPr>
                <w:b/>
                <w:sz w:val="22"/>
                <w:szCs w:val="22"/>
              </w:rPr>
              <w:t>»</w:t>
            </w:r>
          </w:p>
        </w:tc>
      </w:tr>
      <w:tr w:rsidR="00D61C68" w:rsidRPr="009E5909" w:rsidTr="00602626">
        <w:tc>
          <w:tcPr>
            <w:tcW w:w="4564" w:type="dxa"/>
            <w:tcBorders>
              <w:top w:val="single" w:sz="4" w:space="0" w:color="auto"/>
              <w:left w:val="single" w:sz="4" w:space="0" w:color="auto"/>
              <w:bottom w:val="single" w:sz="4" w:space="0" w:color="auto"/>
              <w:right w:val="single" w:sz="4" w:space="0" w:color="auto"/>
            </w:tcBorders>
          </w:tcPr>
          <w:p w:rsidR="00D61C68" w:rsidRPr="009E5909" w:rsidRDefault="00D61C68" w:rsidP="00602626">
            <w:pPr>
              <w:ind w:left="57" w:right="57"/>
              <w:jc w:val="both"/>
              <w:rPr>
                <w:sz w:val="22"/>
                <w:szCs w:val="22"/>
              </w:rPr>
            </w:pPr>
            <w:r w:rsidRPr="009E5909">
              <w:rPr>
                <w:sz w:val="22"/>
                <w:szCs w:val="22"/>
              </w:rPr>
              <w:t>1.3. Место нахождения эмитента</w:t>
            </w:r>
          </w:p>
        </w:tc>
        <w:tc>
          <w:tcPr>
            <w:tcW w:w="5670" w:type="dxa"/>
            <w:tcBorders>
              <w:top w:val="single" w:sz="4" w:space="0" w:color="auto"/>
              <w:left w:val="single" w:sz="4" w:space="0" w:color="auto"/>
              <w:bottom w:val="single" w:sz="4" w:space="0" w:color="auto"/>
              <w:right w:val="single" w:sz="4" w:space="0" w:color="auto"/>
            </w:tcBorders>
            <w:vAlign w:val="center"/>
          </w:tcPr>
          <w:p w:rsidR="00D61C68" w:rsidRPr="00483D05" w:rsidRDefault="00483D05" w:rsidP="003E13E5">
            <w:pPr>
              <w:ind w:left="57" w:right="57"/>
              <w:jc w:val="both"/>
              <w:rPr>
                <w:b/>
                <w:sz w:val="22"/>
                <w:szCs w:val="22"/>
              </w:rPr>
            </w:pPr>
            <w:r w:rsidRPr="00483D05">
              <w:rPr>
                <w:b/>
                <w:sz w:val="22"/>
                <w:szCs w:val="22"/>
              </w:rPr>
              <w:t>Москва, 109052, улица Нижегородская, дом 104, корпус 3</w:t>
            </w:r>
          </w:p>
        </w:tc>
      </w:tr>
      <w:tr w:rsidR="00D61C68" w:rsidRPr="009E5909" w:rsidTr="00602626">
        <w:tc>
          <w:tcPr>
            <w:tcW w:w="4564" w:type="dxa"/>
            <w:tcBorders>
              <w:top w:val="single" w:sz="4" w:space="0" w:color="auto"/>
              <w:left w:val="single" w:sz="4" w:space="0" w:color="auto"/>
              <w:bottom w:val="single" w:sz="4" w:space="0" w:color="auto"/>
              <w:right w:val="single" w:sz="4" w:space="0" w:color="auto"/>
            </w:tcBorders>
          </w:tcPr>
          <w:p w:rsidR="00D61C68" w:rsidRPr="009E5909" w:rsidRDefault="00D61C68" w:rsidP="00602626">
            <w:pPr>
              <w:ind w:left="57" w:right="57"/>
              <w:jc w:val="both"/>
              <w:rPr>
                <w:sz w:val="22"/>
                <w:szCs w:val="22"/>
              </w:rPr>
            </w:pPr>
            <w:r w:rsidRPr="009E5909">
              <w:rPr>
                <w:sz w:val="22"/>
                <w:szCs w:val="22"/>
              </w:rPr>
              <w:t>1.4. ОГРН эмитента</w:t>
            </w:r>
          </w:p>
        </w:tc>
        <w:tc>
          <w:tcPr>
            <w:tcW w:w="5670" w:type="dxa"/>
            <w:tcBorders>
              <w:top w:val="single" w:sz="4" w:space="0" w:color="auto"/>
              <w:left w:val="single" w:sz="4" w:space="0" w:color="auto"/>
              <w:bottom w:val="single" w:sz="4" w:space="0" w:color="auto"/>
              <w:right w:val="single" w:sz="4" w:space="0" w:color="auto"/>
            </w:tcBorders>
            <w:vAlign w:val="center"/>
          </w:tcPr>
          <w:p w:rsidR="00D61C68" w:rsidRPr="00483D05" w:rsidRDefault="00483D05" w:rsidP="003E13E5">
            <w:pPr>
              <w:ind w:left="57" w:right="57"/>
              <w:jc w:val="both"/>
              <w:rPr>
                <w:b/>
                <w:sz w:val="22"/>
                <w:szCs w:val="22"/>
              </w:rPr>
            </w:pPr>
            <w:r w:rsidRPr="00483D05">
              <w:rPr>
                <w:b/>
                <w:sz w:val="22"/>
                <w:szCs w:val="22"/>
              </w:rPr>
              <w:t>1097746593394</w:t>
            </w:r>
          </w:p>
        </w:tc>
      </w:tr>
      <w:tr w:rsidR="00D61C68" w:rsidRPr="009E5909" w:rsidTr="00602626">
        <w:tc>
          <w:tcPr>
            <w:tcW w:w="4564" w:type="dxa"/>
            <w:tcBorders>
              <w:top w:val="single" w:sz="4" w:space="0" w:color="auto"/>
              <w:left w:val="single" w:sz="4" w:space="0" w:color="auto"/>
              <w:bottom w:val="single" w:sz="4" w:space="0" w:color="auto"/>
              <w:right w:val="single" w:sz="4" w:space="0" w:color="auto"/>
            </w:tcBorders>
          </w:tcPr>
          <w:p w:rsidR="00D61C68" w:rsidRPr="009E5909" w:rsidRDefault="00D61C68" w:rsidP="00602626">
            <w:pPr>
              <w:ind w:left="57" w:right="57"/>
              <w:jc w:val="both"/>
              <w:rPr>
                <w:sz w:val="22"/>
                <w:szCs w:val="22"/>
              </w:rPr>
            </w:pPr>
            <w:r w:rsidRPr="009E5909">
              <w:rPr>
                <w:sz w:val="22"/>
                <w:szCs w:val="22"/>
              </w:rPr>
              <w:t>1.5. ИНН эмитента</w:t>
            </w:r>
          </w:p>
        </w:tc>
        <w:tc>
          <w:tcPr>
            <w:tcW w:w="5670" w:type="dxa"/>
            <w:tcBorders>
              <w:top w:val="single" w:sz="4" w:space="0" w:color="auto"/>
              <w:left w:val="single" w:sz="4" w:space="0" w:color="auto"/>
              <w:bottom w:val="single" w:sz="4" w:space="0" w:color="auto"/>
              <w:right w:val="single" w:sz="4" w:space="0" w:color="auto"/>
            </w:tcBorders>
            <w:vAlign w:val="center"/>
          </w:tcPr>
          <w:p w:rsidR="00D61C68" w:rsidRPr="00483D05" w:rsidRDefault="00483D05" w:rsidP="003E13E5">
            <w:pPr>
              <w:ind w:left="57" w:right="57"/>
              <w:jc w:val="both"/>
              <w:rPr>
                <w:b/>
                <w:sz w:val="22"/>
                <w:szCs w:val="22"/>
              </w:rPr>
            </w:pPr>
            <w:r w:rsidRPr="00483D05">
              <w:rPr>
                <w:b/>
                <w:sz w:val="22"/>
                <w:szCs w:val="22"/>
              </w:rPr>
              <w:t>7722696870</w:t>
            </w:r>
          </w:p>
        </w:tc>
      </w:tr>
      <w:tr w:rsidR="00D61C68" w:rsidRPr="009E5909" w:rsidTr="00602626">
        <w:tc>
          <w:tcPr>
            <w:tcW w:w="4564" w:type="dxa"/>
            <w:tcBorders>
              <w:top w:val="single" w:sz="4" w:space="0" w:color="auto"/>
              <w:left w:val="single" w:sz="4" w:space="0" w:color="auto"/>
              <w:bottom w:val="single" w:sz="4" w:space="0" w:color="auto"/>
              <w:right w:val="single" w:sz="4" w:space="0" w:color="auto"/>
            </w:tcBorders>
          </w:tcPr>
          <w:p w:rsidR="00D61C68" w:rsidRPr="009E5909" w:rsidRDefault="00D61C68" w:rsidP="00602626">
            <w:pPr>
              <w:ind w:left="57" w:right="57"/>
              <w:jc w:val="both"/>
              <w:rPr>
                <w:sz w:val="22"/>
                <w:szCs w:val="22"/>
              </w:rPr>
            </w:pPr>
            <w:r w:rsidRPr="009E5909">
              <w:rPr>
                <w:sz w:val="22"/>
                <w:szCs w:val="22"/>
              </w:rPr>
              <w:t>1.6. Уникальный код эмитента, присвоенный регистрирующим органом</w:t>
            </w:r>
          </w:p>
        </w:tc>
        <w:tc>
          <w:tcPr>
            <w:tcW w:w="5670" w:type="dxa"/>
            <w:tcBorders>
              <w:top w:val="single" w:sz="4" w:space="0" w:color="auto"/>
              <w:left w:val="single" w:sz="4" w:space="0" w:color="auto"/>
              <w:bottom w:val="single" w:sz="4" w:space="0" w:color="auto"/>
              <w:right w:val="single" w:sz="4" w:space="0" w:color="auto"/>
            </w:tcBorders>
            <w:vAlign w:val="center"/>
          </w:tcPr>
          <w:p w:rsidR="00D61C68" w:rsidRPr="00483D05" w:rsidRDefault="00483D05" w:rsidP="003E13E5">
            <w:pPr>
              <w:ind w:left="57" w:right="57"/>
              <w:jc w:val="both"/>
              <w:rPr>
                <w:b/>
                <w:sz w:val="22"/>
                <w:szCs w:val="22"/>
              </w:rPr>
            </w:pPr>
            <w:r w:rsidRPr="00483D05">
              <w:rPr>
                <w:b/>
                <w:sz w:val="22"/>
                <w:szCs w:val="22"/>
              </w:rPr>
              <w:t>71827-H</w:t>
            </w:r>
          </w:p>
        </w:tc>
      </w:tr>
      <w:tr w:rsidR="00D61C68" w:rsidRPr="009E5909" w:rsidTr="00602626">
        <w:trPr>
          <w:trHeight w:val="77"/>
        </w:trPr>
        <w:tc>
          <w:tcPr>
            <w:tcW w:w="4564" w:type="dxa"/>
            <w:tcBorders>
              <w:top w:val="single" w:sz="4" w:space="0" w:color="auto"/>
              <w:left w:val="single" w:sz="4" w:space="0" w:color="auto"/>
              <w:bottom w:val="single" w:sz="4" w:space="0" w:color="auto"/>
              <w:right w:val="single" w:sz="4" w:space="0" w:color="auto"/>
            </w:tcBorders>
          </w:tcPr>
          <w:p w:rsidR="00D61C68" w:rsidRPr="009E5909" w:rsidRDefault="00D61C68" w:rsidP="00602626">
            <w:pPr>
              <w:ind w:left="57" w:right="57"/>
              <w:jc w:val="both"/>
              <w:rPr>
                <w:sz w:val="22"/>
                <w:szCs w:val="22"/>
              </w:rPr>
            </w:pPr>
            <w:r w:rsidRPr="009E5909">
              <w:rPr>
                <w:sz w:val="22"/>
                <w:szCs w:val="22"/>
              </w:rPr>
              <w:t>1.7. Адрес страницы в сети Интернет, используемой эмитентом для раскрытия информации</w:t>
            </w:r>
          </w:p>
        </w:tc>
        <w:tc>
          <w:tcPr>
            <w:tcW w:w="5670" w:type="dxa"/>
            <w:tcBorders>
              <w:top w:val="single" w:sz="4" w:space="0" w:color="auto"/>
              <w:left w:val="single" w:sz="4" w:space="0" w:color="auto"/>
              <w:bottom w:val="single" w:sz="4" w:space="0" w:color="auto"/>
              <w:right w:val="single" w:sz="4" w:space="0" w:color="auto"/>
            </w:tcBorders>
            <w:vAlign w:val="center"/>
          </w:tcPr>
          <w:p w:rsidR="009E5909" w:rsidRPr="00483D05" w:rsidRDefault="00826FD4" w:rsidP="006B5A98">
            <w:pPr>
              <w:ind w:left="57" w:right="57"/>
              <w:jc w:val="both"/>
              <w:rPr>
                <w:b/>
                <w:sz w:val="22"/>
                <w:szCs w:val="22"/>
              </w:rPr>
            </w:pPr>
            <w:hyperlink r:id="rId6" w:history="1">
              <w:r w:rsidR="00483D05" w:rsidRPr="00483D05">
                <w:rPr>
                  <w:rStyle w:val="a3"/>
                  <w:b/>
                  <w:bCs/>
                  <w:iCs/>
                  <w:sz w:val="22"/>
                  <w:szCs w:val="22"/>
                </w:rPr>
                <w:t>http://www.e-disclosure.</w:t>
              </w:r>
              <w:r w:rsidR="00483D05" w:rsidRPr="00483D05">
                <w:rPr>
                  <w:rStyle w:val="a3"/>
                  <w:b/>
                  <w:bCs/>
                  <w:iCs/>
                  <w:sz w:val="22"/>
                  <w:szCs w:val="22"/>
                  <w:lang w:val="en-US"/>
                </w:rPr>
                <w:t>ru</w:t>
              </w:r>
              <w:r w:rsidR="00483D05" w:rsidRPr="00483D05">
                <w:rPr>
                  <w:rStyle w:val="a3"/>
                  <w:b/>
                  <w:bCs/>
                  <w:iCs/>
                  <w:sz w:val="22"/>
                  <w:szCs w:val="22"/>
                </w:rPr>
                <w:t>/</w:t>
              </w:r>
              <w:r w:rsidR="00483D05" w:rsidRPr="00483D05">
                <w:rPr>
                  <w:rStyle w:val="a3"/>
                  <w:b/>
                  <w:bCs/>
                  <w:iCs/>
                  <w:sz w:val="22"/>
                  <w:szCs w:val="22"/>
                  <w:lang w:val="en-US"/>
                </w:rPr>
                <w:t>portal</w:t>
              </w:r>
              <w:r w:rsidR="00483D05" w:rsidRPr="00483D05">
                <w:rPr>
                  <w:rStyle w:val="a3"/>
                  <w:b/>
                  <w:bCs/>
                  <w:iCs/>
                  <w:sz w:val="22"/>
                  <w:szCs w:val="22"/>
                </w:rPr>
                <w:t>/</w:t>
              </w:r>
              <w:r w:rsidR="00483D05" w:rsidRPr="00483D05">
                <w:rPr>
                  <w:rStyle w:val="a3"/>
                  <w:b/>
                  <w:bCs/>
                  <w:iCs/>
                  <w:sz w:val="22"/>
                  <w:szCs w:val="22"/>
                  <w:lang w:val="en-US"/>
                </w:rPr>
                <w:t>company</w:t>
              </w:r>
              <w:r w:rsidR="00483D05" w:rsidRPr="00483D05">
                <w:rPr>
                  <w:rStyle w:val="a3"/>
                  <w:b/>
                  <w:bCs/>
                  <w:iCs/>
                  <w:sz w:val="22"/>
                  <w:szCs w:val="22"/>
                </w:rPr>
                <w:t>.</w:t>
              </w:r>
              <w:r w:rsidR="00483D05" w:rsidRPr="00483D05">
                <w:rPr>
                  <w:rStyle w:val="a3"/>
                  <w:b/>
                  <w:bCs/>
                  <w:iCs/>
                  <w:sz w:val="22"/>
                  <w:szCs w:val="22"/>
                  <w:lang w:val="en-US"/>
                </w:rPr>
                <w:t>aspx</w:t>
              </w:r>
              <w:r w:rsidR="00483D05" w:rsidRPr="00483D05">
                <w:rPr>
                  <w:rStyle w:val="a3"/>
                  <w:b/>
                  <w:bCs/>
                  <w:iCs/>
                  <w:sz w:val="22"/>
                  <w:szCs w:val="22"/>
                </w:rPr>
                <w:t>?</w:t>
              </w:r>
              <w:r w:rsidR="00483D05" w:rsidRPr="00483D05">
                <w:rPr>
                  <w:rStyle w:val="a3"/>
                  <w:b/>
                  <w:bCs/>
                  <w:iCs/>
                  <w:sz w:val="22"/>
                  <w:szCs w:val="22"/>
                  <w:lang w:val="en-US"/>
                </w:rPr>
                <w:t>id</w:t>
              </w:r>
              <w:r w:rsidR="00483D05" w:rsidRPr="00483D05">
                <w:rPr>
                  <w:rStyle w:val="a3"/>
                  <w:b/>
                  <w:bCs/>
                  <w:iCs/>
                  <w:sz w:val="22"/>
                  <w:szCs w:val="22"/>
                </w:rPr>
                <w:t>=32658</w:t>
              </w:r>
            </w:hyperlink>
            <w:r w:rsidR="00483D05" w:rsidRPr="00483D05">
              <w:rPr>
                <w:b/>
                <w:sz w:val="22"/>
                <w:szCs w:val="22"/>
              </w:rPr>
              <w:t>,</w:t>
            </w:r>
            <w:r w:rsidR="00483D05" w:rsidRPr="00483D05">
              <w:rPr>
                <w:sz w:val="22"/>
                <w:szCs w:val="22"/>
              </w:rPr>
              <w:t xml:space="preserve"> </w:t>
            </w:r>
            <w:hyperlink r:id="rId7" w:history="1">
              <w:r w:rsidR="006B5A98" w:rsidRPr="006B5A98">
                <w:rPr>
                  <w:rStyle w:val="a3"/>
                  <w:b/>
                  <w:bCs/>
                  <w:iCs/>
                  <w:sz w:val="22"/>
                  <w:szCs w:val="22"/>
                </w:rPr>
                <w:t>http://o1properties-finance.ru/</w:t>
              </w:r>
            </w:hyperlink>
          </w:p>
        </w:tc>
      </w:tr>
    </w:tbl>
    <w:p w:rsidR="00D61C68" w:rsidRPr="009E5909" w:rsidRDefault="00D61C68" w:rsidP="00384031">
      <w:pPr>
        <w:rPr>
          <w:sz w:val="22"/>
          <w:szCs w:val="22"/>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D0309C" w:rsidRPr="009E5909" w:rsidTr="00602626">
        <w:tc>
          <w:tcPr>
            <w:tcW w:w="10234" w:type="dxa"/>
            <w:tcBorders>
              <w:top w:val="single" w:sz="4" w:space="0" w:color="auto"/>
              <w:left w:val="single" w:sz="4" w:space="0" w:color="auto"/>
              <w:bottom w:val="single" w:sz="4" w:space="0" w:color="auto"/>
              <w:right w:val="single" w:sz="4" w:space="0" w:color="auto"/>
            </w:tcBorders>
          </w:tcPr>
          <w:p w:rsidR="00D0309C" w:rsidRPr="009E5909" w:rsidRDefault="00D0309C" w:rsidP="00384031">
            <w:pPr>
              <w:jc w:val="center"/>
              <w:rPr>
                <w:b/>
                <w:sz w:val="22"/>
                <w:szCs w:val="22"/>
              </w:rPr>
            </w:pPr>
            <w:r w:rsidRPr="009E5909">
              <w:rPr>
                <w:b/>
                <w:sz w:val="22"/>
                <w:szCs w:val="22"/>
              </w:rPr>
              <w:t>2. Содержание сообщения</w:t>
            </w:r>
          </w:p>
        </w:tc>
      </w:tr>
      <w:tr w:rsidR="009E5909" w:rsidRPr="009E5909" w:rsidTr="00602626">
        <w:tc>
          <w:tcPr>
            <w:tcW w:w="10234" w:type="dxa"/>
            <w:tcBorders>
              <w:top w:val="single" w:sz="4" w:space="0" w:color="auto"/>
              <w:left w:val="single" w:sz="4" w:space="0" w:color="auto"/>
              <w:bottom w:val="single" w:sz="4" w:space="0" w:color="auto"/>
              <w:right w:val="single" w:sz="4" w:space="0" w:color="auto"/>
            </w:tcBorders>
          </w:tcPr>
          <w:p w:rsidR="006B5A98" w:rsidRPr="006B5A98" w:rsidRDefault="009E5909" w:rsidP="006B5A98">
            <w:pPr>
              <w:autoSpaceDE w:val="0"/>
              <w:autoSpaceDN w:val="0"/>
              <w:adjustRightInd w:val="0"/>
              <w:spacing w:before="120" w:after="120"/>
              <w:ind w:firstLine="539"/>
              <w:jc w:val="center"/>
              <w:rPr>
                <w:b/>
                <w:sz w:val="22"/>
                <w:szCs w:val="22"/>
              </w:rPr>
            </w:pPr>
            <w:r w:rsidRPr="009E5909">
              <w:rPr>
                <w:b/>
                <w:sz w:val="22"/>
                <w:szCs w:val="22"/>
              </w:rPr>
              <w:t xml:space="preserve">«Сведения </w:t>
            </w:r>
            <w:r w:rsidR="006B5A98" w:rsidRPr="006B5A98">
              <w:rPr>
                <w:b/>
                <w:sz w:val="22"/>
                <w:szCs w:val="22"/>
              </w:rPr>
              <w:t>о присвоении выпуску ценных бумаг идентификационного номера»</w:t>
            </w:r>
          </w:p>
        </w:tc>
      </w:tr>
      <w:tr w:rsidR="00D0309C" w:rsidRPr="009E5909" w:rsidTr="00602626">
        <w:tc>
          <w:tcPr>
            <w:tcW w:w="10234" w:type="dxa"/>
            <w:tcBorders>
              <w:top w:val="single" w:sz="4" w:space="0" w:color="auto"/>
              <w:left w:val="single" w:sz="4" w:space="0" w:color="auto"/>
              <w:bottom w:val="single" w:sz="4" w:space="0" w:color="auto"/>
              <w:right w:val="single" w:sz="4" w:space="0" w:color="auto"/>
            </w:tcBorders>
          </w:tcPr>
          <w:p w:rsidR="006B5A98" w:rsidRPr="006B5A98" w:rsidRDefault="006B5A98" w:rsidP="006B5A98">
            <w:pPr>
              <w:pStyle w:val="ConsPlusNormal"/>
              <w:ind w:left="57" w:right="57"/>
              <w:jc w:val="both"/>
            </w:pPr>
            <w:r>
              <w:t xml:space="preserve">2.1. Вид, категория (тип), серия и иные идентификационные признаки ценных </w:t>
            </w:r>
            <w:r w:rsidRPr="006B5A98">
              <w:t xml:space="preserve">бумаг: </w:t>
            </w:r>
            <w:r w:rsidRPr="006B5A98">
              <w:rPr>
                <w:rStyle w:val="SUBST"/>
                <w:bCs w:val="0"/>
                <w:iCs w:val="0"/>
              </w:rPr>
              <w:t>биржевые облигации неконвертируемые процентные документарные на предъявителя серии БО-01 с обязательным централизованным хранением</w:t>
            </w:r>
          </w:p>
          <w:p w:rsidR="006B5A98" w:rsidRPr="006B5A98" w:rsidRDefault="006B5A98" w:rsidP="006B5A98">
            <w:pPr>
              <w:ind w:left="57" w:right="57"/>
              <w:jc w:val="both"/>
              <w:rPr>
                <w:b/>
                <w:i/>
                <w:sz w:val="22"/>
                <w:szCs w:val="22"/>
              </w:rPr>
            </w:pPr>
            <w:r w:rsidRPr="006B5A98">
              <w:rPr>
                <w:sz w:val="22"/>
                <w:szCs w:val="22"/>
              </w:rPr>
              <w:t xml:space="preserve">2.2. Срок погашения (для облигаций и опционов эмитента): </w:t>
            </w:r>
            <w:r w:rsidRPr="006B5A98">
              <w:rPr>
                <w:b/>
                <w:i/>
                <w:sz w:val="22"/>
                <w:szCs w:val="22"/>
              </w:rPr>
              <w:t xml:space="preserve">в 1 820-й (Одна тысяча восемьсот двадцатый) день </w:t>
            </w:r>
            <w:proofErr w:type="gramStart"/>
            <w:r w:rsidRPr="006B5A98">
              <w:rPr>
                <w:b/>
                <w:i/>
                <w:sz w:val="22"/>
                <w:szCs w:val="22"/>
              </w:rPr>
              <w:t>с даты начала</w:t>
            </w:r>
            <w:proofErr w:type="gramEnd"/>
            <w:r w:rsidRPr="006B5A98">
              <w:rPr>
                <w:b/>
                <w:i/>
                <w:sz w:val="22"/>
                <w:szCs w:val="22"/>
              </w:rPr>
              <w:t xml:space="preserve"> размещения Биржевых облигаций. </w:t>
            </w:r>
          </w:p>
          <w:p w:rsidR="006B5A98" w:rsidRPr="00826FD4" w:rsidRDefault="006B5A98" w:rsidP="006B5A98">
            <w:pPr>
              <w:pStyle w:val="ConsPlusNormal"/>
              <w:ind w:left="57" w:right="57"/>
              <w:jc w:val="both"/>
              <w:rPr>
                <w:b/>
                <w:i/>
              </w:rPr>
            </w:pPr>
            <w:r w:rsidRPr="006B5A98">
              <w:t xml:space="preserve">2.3. Идентификационный номер, </w:t>
            </w:r>
            <w:r w:rsidRPr="00826FD4">
              <w:t>присвоенный выпуску ценных бумаг, и дата его присвоения:</w:t>
            </w:r>
            <w:r w:rsidR="00826FD4" w:rsidRPr="00826FD4">
              <w:t xml:space="preserve"> </w:t>
            </w:r>
            <w:r w:rsidR="00826FD4" w:rsidRPr="00826FD4">
              <w:rPr>
                <w:b/>
                <w:i/>
              </w:rPr>
              <w:t>4B02-01-71827-H от 13.08.2015 г.</w:t>
            </w:r>
          </w:p>
          <w:p w:rsidR="006B5A98" w:rsidRPr="006B5A98" w:rsidRDefault="006B5A98" w:rsidP="006B5A98">
            <w:pPr>
              <w:pStyle w:val="ConsPlusNormal"/>
              <w:ind w:left="57" w:right="57"/>
              <w:jc w:val="both"/>
            </w:pPr>
            <w:r w:rsidRPr="006B5A98">
              <w:t xml:space="preserve">2.4. Наименование органа (организации), присвоившего выпуску ценных бумаг идентификационный номер: </w:t>
            </w:r>
            <w:r w:rsidRPr="006B5A98">
              <w:rPr>
                <w:b/>
                <w:i/>
              </w:rPr>
              <w:t xml:space="preserve">ЗАО «ФБ ММВБ» </w:t>
            </w:r>
          </w:p>
          <w:p w:rsidR="006B5A98" w:rsidRPr="006B0E0A" w:rsidRDefault="006B5A98" w:rsidP="006B5A98">
            <w:pPr>
              <w:pStyle w:val="ConsPlusNormal"/>
              <w:ind w:left="57" w:right="57"/>
              <w:jc w:val="both"/>
              <w:rPr>
                <w:b/>
                <w:i/>
              </w:rPr>
            </w:pPr>
            <w:r w:rsidRPr="006B5A98">
              <w:t xml:space="preserve">2.5. Количество </w:t>
            </w:r>
            <w:r w:rsidRPr="006B0E0A">
              <w:t>размещаемых ценных бумаг и номинальная стоимость каждой ценной бумаги:</w:t>
            </w:r>
            <w:r w:rsidR="006B0E0A" w:rsidRPr="006B0E0A">
              <w:t xml:space="preserve"> </w:t>
            </w:r>
            <w:r w:rsidR="006B0E0A" w:rsidRPr="006B0E0A">
              <w:rPr>
                <w:b/>
                <w:bCs/>
                <w:i/>
              </w:rPr>
              <w:t xml:space="preserve">15 000 000 штук, номинальной стоимостью </w:t>
            </w:r>
            <w:r w:rsidR="006B0E0A" w:rsidRPr="006B0E0A">
              <w:rPr>
                <w:b/>
                <w:bCs/>
                <w:i/>
                <w:iCs/>
              </w:rPr>
              <w:t>1 000 (Одна тысяча) рублей каждая</w:t>
            </w:r>
          </w:p>
          <w:p w:rsidR="006B5A98" w:rsidRPr="006B5A98" w:rsidRDefault="006B5A98" w:rsidP="006B5A98">
            <w:pPr>
              <w:pStyle w:val="ConsPlusNormal"/>
              <w:ind w:left="57" w:right="57"/>
              <w:jc w:val="both"/>
              <w:rPr>
                <w:b/>
                <w:i/>
              </w:rPr>
            </w:pPr>
            <w:r w:rsidRPr="006B0E0A">
              <w:t>2.6. Способ размещения ценных</w:t>
            </w:r>
            <w:r>
              <w:t xml:space="preserve"> бумаг: </w:t>
            </w:r>
            <w:r>
              <w:rPr>
                <w:b/>
                <w:i/>
              </w:rPr>
              <w:t xml:space="preserve">открытая подписка </w:t>
            </w:r>
          </w:p>
          <w:p w:rsidR="006B5A98" w:rsidRDefault="006B5A98" w:rsidP="006B5A98">
            <w:pPr>
              <w:pStyle w:val="ConsPlusNormal"/>
              <w:ind w:left="57" w:right="57"/>
              <w:jc w:val="both"/>
            </w:pPr>
            <w:r>
              <w:t xml:space="preserve">2.7. Предоставление акционерам (участникам) эмитента и (или) иным лицам преимущественного права приобретения ценных бумаг: </w:t>
            </w:r>
            <w:r w:rsidRPr="006B5A98">
              <w:rPr>
                <w:b/>
                <w:i/>
              </w:rPr>
              <w:t>преимущественное право приобретения ценных бумаг не предусмотрено</w:t>
            </w:r>
          </w:p>
          <w:p w:rsidR="006B5A98" w:rsidRDefault="006B5A98" w:rsidP="006B5A98">
            <w:pPr>
              <w:pStyle w:val="ConsPlusNormal"/>
              <w:ind w:left="57" w:right="57"/>
              <w:jc w:val="both"/>
            </w:pPr>
            <w:r>
              <w:t>2.8. 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присвоения выпуску (дополнительному выпуску) ценных бумаг идентификационного номера и не позднее даты начала размещения ценных бумаг:</w:t>
            </w:r>
          </w:p>
          <w:p w:rsidR="006B0E0A" w:rsidRPr="006B0E0A" w:rsidRDefault="006B0E0A" w:rsidP="006B0E0A">
            <w:pPr>
              <w:pStyle w:val="ConsPlusNormal"/>
              <w:ind w:left="57" w:right="57"/>
              <w:jc w:val="both"/>
              <w:rPr>
                <w:b/>
                <w:i/>
              </w:rPr>
            </w:pPr>
            <w:r w:rsidRPr="006B0E0A">
              <w:rPr>
                <w:b/>
                <w:i/>
              </w:rPr>
              <w:t>Цена размещения Биржевых облигаций устанавливается в размере 100 (Сто) процентов от номинальной стоимости Биржевых облигаций, что составляет 1 000 (Одну тысячу) рублей за одну Биржевую облигацию.</w:t>
            </w:r>
          </w:p>
          <w:p w:rsidR="006B0E0A" w:rsidRPr="006B0E0A" w:rsidRDefault="006B0E0A" w:rsidP="006B0E0A">
            <w:pPr>
              <w:pStyle w:val="ConsPlusNormal"/>
              <w:ind w:left="57" w:right="57"/>
              <w:jc w:val="both"/>
              <w:rPr>
                <w:b/>
                <w:i/>
              </w:rPr>
            </w:pPr>
            <w:r w:rsidRPr="006B0E0A">
              <w:rPr>
                <w:b/>
                <w:i/>
              </w:rPr>
              <w:t>Начиная со второго дня размещения Биржевых облигаций, покупатель при совершении операции купли-продажи Биржевых облигаций также уплачивает накопленный купонный доход по Биржевым облигациям (НКД), рассчитываемый по следующей формуле:</w:t>
            </w:r>
          </w:p>
          <w:p w:rsidR="006B0E0A" w:rsidRPr="00826FD4" w:rsidRDefault="006B0E0A" w:rsidP="006B0E0A">
            <w:pPr>
              <w:pStyle w:val="ConsPlusNormal"/>
              <w:ind w:left="57" w:right="57"/>
              <w:jc w:val="both"/>
              <w:rPr>
                <w:b/>
                <w:i/>
                <w:lang w:val="en-US"/>
              </w:rPr>
            </w:pPr>
            <w:r w:rsidRPr="006B0E0A">
              <w:rPr>
                <w:b/>
                <w:i/>
              </w:rPr>
              <w:t>НКД</w:t>
            </w:r>
            <w:r w:rsidRPr="00826FD4">
              <w:rPr>
                <w:b/>
                <w:i/>
                <w:lang w:val="en-US"/>
              </w:rPr>
              <w:t xml:space="preserve"> = Nom * </w:t>
            </w:r>
            <w:proofErr w:type="spellStart"/>
            <w:r w:rsidRPr="00826FD4">
              <w:rPr>
                <w:b/>
                <w:i/>
                <w:lang w:val="en-US"/>
              </w:rPr>
              <w:t>Cj</w:t>
            </w:r>
            <w:proofErr w:type="spellEnd"/>
            <w:r w:rsidRPr="00826FD4">
              <w:rPr>
                <w:b/>
                <w:i/>
                <w:lang w:val="en-US"/>
              </w:rPr>
              <w:t xml:space="preserve"> * (T - T(j -1))/ 365/ 100%,</w:t>
            </w:r>
          </w:p>
          <w:p w:rsidR="006B0E0A" w:rsidRPr="006B0E0A" w:rsidRDefault="006B0E0A" w:rsidP="006B0E0A">
            <w:pPr>
              <w:pStyle w:val="ConsPlusNormal"/>
              <w:ind w:left="57" w:right="57"/>
              <w:jc w:val="both"/>
              <w:rPr>
                <w:b/>
                <w:i/>
              </w:rPr>
            </w:pPr>
            <w:r w:rsidRPr="006B0E0A">
              <w:rPr>
                <w:b/>
                <w:i/>
              </w:rPr>
              <w:t>где</w:t>
            </w:r>
          </w:p>
          <w:p w:rsidR="006B0E0A" w:rsidRPr="006B0E0A" w:rsidRDefault="006B0E0A" w:rsidP="006B0E0A">
            <w:pPr>
              <w:pStyle w:val="ConsPlusNormal"/>
              <w:ind w:left="57" w:right="57"/>
              <w:jc w:val="both"/>
              <w:rPr>
                <w:b/>
                <w:i/>
              </w:rPr>
            </w:pPr>
            <w:r w:rsidRPr="006B0E0A">
              <w:rPr>
                <w:b/>
                <w:i/>
              </w:rPr>
              <w:t>j - порядковый номер купонного периода;</w:t>
            </w:r>
          </w:p>
          <w:p w:rsidR="006B0E0A" w:rsidRPr="006B0E0A" w:rsidRDefault="006B0E0A" w:rsidP="006B0E0A">
            <w:pPr>
              <w:pStyle w:val="ConsPlusNormal"/>
              <w:ind w:left="57" w:right="57"/>
              <w:jc w:val="both"/>
              <w:rPr>
                <w:b/>
                <w:i/>
              </w:rPr>
            </w:pPr>
            <w:r w:rsidRPr="006B0E0A">
              <w:rPr>
                <w:b/>
                <w:i/>
              </w:rPr>
              <w:t>НКД – накопленный купонный доход, в рублях;</w:t>
            </w:r>
          </w:p>
          <w:p w:rsidR="006B0E0A" w:rsidRPr="006B0E0A" w:rsidRDefault="006B0E0A" w:rsidP="006B0E0A">
            <w:pPr>
              <w:pStyle w:val="ConsPlusNormal"/>
              <w:ind w:left="57" w:right="57"/>
              <w:jc w:val="both"/>
              <w:rPr>
                <w:b/>
                <w:i/>
              </w:rPr>
            </w:pPr>
            <w:proofErr w:type="spellStart"/>
            <w:r w:rsidRPr="006B0E0A">
              <w:rPr>
                <w:b/>
                <w:i/>
              </w:rPr>
              <w:t>Nom</w:t>
            </w:r>
            <w:proofErr w:type="spellEnd"/>
            <w:r w:rsidRPr="006B0E0A">
              <w:rPr>
                <w:b/>
                <w:i/>
              </w:rPr>
              <w:t xml:space="preserve"> – непогашенная часть номинальной стоимости одной Биржевой облигации, в рублях;</w:t>
            </w:r>
          </w:p>
          <w:p w:rsidR="006B0E0A" w:rsidRPr="006B0E0A" w:rsidRDefault="006B0E0A" w:rsidP="006B0E0A">
            <w:pPr>
              <w:pStyle w:val="ConsPlusNormal"/>
              <w:ind w:left="57" w:right="57"/>
              <w:jc w:val="both"/>
              <w:rPr>
                <w:b/>
                <w:i/>
              </w:rPr>
            </w:pPr>
            <w:r w:rsidRPr="006B0E0A">
              <w:rPr>
                <w:b/>
                <w:i/>
              </w:rPr>
              <w:t>C j - размер процентной ставки j-</w:t>
            </w:r>
            <w:proofErr w:type="spellStart"/>
            <w:r w:rsidRPr="006B0E0A">
              <w:rPr>
                <w:b/>
                <w:i/>
              </w:rPr>
              <w:t>го</w:t>
            </w:r>
            <w:proofErr w:type="spellEnd"/>
            <w:r w:rsidRPr="006B0E0A">
              <w:rPr>
                <w:b/>
                <w:i/>
              </w:rPr>
              <w:t xml:space="preserve"> купона, в процентах годовых;</w:t>
            </w:r>
          </w:p>
          <w:p w:rsidR="006B0E0A" w:rsidRPr="006B0E0A" w:rsidRDefault="006B0E0A" w:rsidP="006B0E0A">
            <w:pPr>
              <w:pStyle w:val="ConsPlusNormal"/>
              <w:ind w:left="57" w:right="57"/>
              <w:jc w:val="both"/>
              <w:rPr>
                <w:b/>
                <w:i/>
              </w:rPr>
            </w:pPr>
            <w:r w:rsidRPr="006B0E0A">
              <w:rPr>
                <w:b/>
                <w:i/>
              </w:rPr>
              <w:t>T(j -1) - дата начала j-</w:t>
            </w:r>
            <w:proofErr w:type="spellStart"/>
            <w:r w:rsidRPr="006B0E0A">
              <w:rPr>
                <w:b/>
                <w:i/>
              </w:rPr>
              <w:t>го</w:t>
            </w:r>
            <w:proofErr w:type="spellEnd"/>
            <w:r w:rsidRPr="006B0E0A">
              <w:rPr>
                <w:b/>
                <w:i/>
              </w:rPr>
              <w:t xml:space="preserve"> купонного периода (для случая первого купонного периода</w:t>
            </w:r>
            <w:proofErr w:type="gramStart"/>
            <w:r w:rsidRPr="006B0E0A">
              <w:rPr>
                <w:b/>
                <w:i/>
              </w:rPr>
              <w:t xml:space="preserve"> Т</w:t>
            </w:r>
            <w:proofErr w:type="gramEnd"/>
            <w:r w:rsidRPr="006B0E0A">
              <w:rPr>
                <w:b/>
                <w:i/>
              </w:rPr>
              <w:t>(j-1) – это дата начала размещения Биржевых облигаций);</w:t>
            </w:r>
          </w:p>
          <w:p w:rsidR="006B0E0A" w:rsidRPr="006B0E0A" w:rsidRDefault="006B0E0A" w:rsidP="006B0E0A">
            <w:pPr>
              <w:pStyle w:val="ConsPlusNormal"/>
              <w:ind w:left="57" w:right="57"/>
              <w:jc w:val="both"/>
              <w:rPr>
                <w:b/>
                <w:i/>
              </w:rPr>
            </w:pPr>
            <w:r w:rsidRPr="006B0E0A">
              <w:rPr>
                <w:b/>
                <w:i/>
              </w:rPr>
              <w:t>T - дата расчета накопленного купонного дохода внутри j-</w:t>
            </w:r>
            <w:proofErr w:type="spellStart"/>
            <w:r w:rsidRPr="006B0E0A">
              <w:rPr>
                <w:b/>
                <w:i/>
              </w:rPr>
              <w:t>го</w:t>
            </w:r>
            <w:proofErr w:type="spellEnd"/>
            <w:r w:rsidRPr="006B0E0A">
              <w:rPr>
                <w:b/>
                <w:i/>
              </w:rPr>
              <w:t xml:space="preserve"> купонного периода.</w:t>
            </w:r>
          </w:p>
          <w:p w:rsidR="006B0E0A" w:rsidRPr="006B0E0A" w:rsidRDefault="006B0E0A" w:rsidP="006B0E0A">
            <w:pPr>
              <w:pStyle w:val="ConsPlusNormal"/>
              <w:ind w:left="57" w:right="57"/>
              <w:jc w:val="both"/>
              <w:rPr>
                <w:b/>
                <w:i/>
              </w:rPr>
            </w:pPr>
            <w:proofErr w:type="gramStart"/>
            <w:r w:rsidRPr="006B0E0A">
              <w:rPr>
                <w:b/>
                <w:i/>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w:t>
            </w:r>
            <w:proofErr w:type="gramEnd"/>
            <w:r w:rsidRPr="006B0E0A">
              <w:rPr>
                <w:b/>
                <w:i/>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proofErr w:type="gramStart"/>
            <w:r w:rsidRPr="006B0E0A">
              <w:rPr>
                <w:b/>
                <w:i/>
              </w:rPr>
              <w:t>за</w:t>
            </w:r>
            <w:proofErr w:type="gramEnd"/>
            <w:r w:rsidRPr="006B0E0A">
              <w:rPr>
                <w:b/>
                <w:i/>
              </w:rPr>
              <w:t xml:space="preserve"> округляемой цифра равна от 0 до 4, и изменяется, увеличиваясь на единицу, если следующая цифра равна от 5 до 9).</w:t>
            </w:r>
          </w:p>
          <w:p w:rsidR="006B5A98" w:rsidRDefault="006B5A98" w:rsidP="006B5A98">
            <w:pPr>
              <w:pStyle w:val="ConsPlusNormal"/>
              <w:ind w:left="57" w:right="57"/>
              <w:jc w:val="both"/>
            </w:pPr>
            <w:r>
              <w:lastRenderedPageBreak/>
              <w:t>2.9. Срок размещения ценных бумаг или порядок его определения:</w:t>
            </w:r>
            <w:r w:rsidR="006B0E0A">
              <w:t xml:space="preserve"> </w:t>
            </w:r>
          </w:p>
          <w:p w:rsidR="006B0E0A" w:rsidRPr="006B0E0A" w:rsidRDefault="006B0E0A" w:rsidP="006B0E0A">
            <w:pPr>
              <w:widowControl w:val="0"/>
              <w:autoSpaceDE w:val="0"/>
              <w:autoSpaceDN w:val="0"/>
              <w:adjustRightInd w:val="0"/>
              <w:ind w:left="57" w:right="57"/>
              <w:jc w:val="both"/>
              <w:rPr>
                <w:b/>
                <w:bCs/>
                <w:i/>
                <w:iCs/>
                <w:sz w:val="22"/>
                <w:szCs w:val="22"/>
              </w:rPr>
            </w:pPr>
            <w:r w:rsidRPr="006B0E0A">
              <w:rPr>
                <w:b/>
                <w:bCs/>
                <w:i/>
                <w:iCs/>
                <w:sz w:val="22"/>
                <w:szCs w:val="22"/>
              </w:rPr>
              <w:t>Дата начала размещения Биржевых облигаций устанавливается уполномоченным органом управления Эмитента.</w:t>
            </w:r>
          </w:p>
          <w:p w:rsidR="006B0E0A" w:rsidRPr="006B0E0A" w:rsidRDefault="006B0E0A" w:rsidP="006B0E0A">
            <w:pPr>
              <w:widowControl w:val="0"/>
              <w:autoSpaceDE w:val="0"/>
              <w:autoSpaceDN w:val="0"/>
              <w:adjustRightInd w:val="0"/>
              <w:ind w:left="57" w:right="57"/>
              <w:jc w:val="both"/>
              <w:rPr>
                <w:b/>
                <w:bCs/>
                <w:i/>
                <w:iCs/>
                <w:sz w:val="22"/>
                <w:szCs w:val="22"/>
              </w:rPr>
            </w:pPr>
            <w:r w:rsidRPr="006B0E0A">
              <w:rPr>
                <w:b/>
                <w:bCs/>
                <w:i/>
                <w:iCs/>
                <w:sz w:val="22"/>
                <w:szCs w:val="22"/>
              </w:rPr>
              <w:t>Сообщение о дате начала размещения Биржевых облигаций раскрывается Эмитентом в следующие сроки:</w:t>
            </w:r>
          </w:p>
          <w:p w:rsidR="006B0E0A" w:rsidRPr="006B0E0A" w:rsidRDefault="006B0E0A" w:rsidP="006B0E0A">
            <w:pPr>
              <w:widowControl w:val="0"/>
              <w:numPr>
                <w:ilvl w:val="0"/>
                <w:numId w:val="3"/>
              </w:numPr>
              <w:autoSpaceDE w:val="0"/>
              <w:autoSpaceDN w:val="0"/>
              <w:adjustRightInd w:val="0"/>
              <w:ind w:left="57" w:right="57" w:firstLine="0"/>
              <w:jc w:val="both"/>
              <w:rPr>
                <w:b/>
                <w:bCs/>
                <w:i/>
                <w:iCs/>
                <w:sz w:val="22"/>
                <w:szCs w:val="22"/>
              </w:rPr>
            </w:pPr>
            <w:r w:rsidRPr="006B0E0A">
              <w:rPr>
                <w:b/>
                <w:bCs/>
                <w:i/>
                <w:iCs/>
                <w:sz w:val="22"/>
                <w:szCs w:val="22"/>
              </w:rPr>
              <w:t>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1 (Один) день до даты начала размещения Биржевых облигаций;</w:t>
            </w:r>
          </w:p>
          <w:p w:rsidR="006B0E0A" w:rsidRPr="006B0E0A" w:rsidRDefault="006B0E0A" w:rsidP="006B0E0A">
            <w:pPr>
              <w:widowControl w:val="0"/>
              <w:numPr>
                <w:ilvl w:val="0"/>
                <w:numId w:val="3"/>
              </w:numPr>
              <w:autoSpaceDE w:val="0"/>
              <w:autoSpaceDN w:val="0"/>
              <w:adjustRightInd w:val="0"/>
              <w:ind w:left="57" w:right="57" w:firstLine="0"/>
              <w:jc w:val="both"/>
              <w:rPr>
                <w:b/>
                <w:bCs/>
                <w:i/>
                <w:iCs/>
                <w:sz w:val="22"/>
                <w:szCs w:val="22"/>
              </w:rPr>
            </w:pPr>
            <w:proofErr w:type="gramStart"/>
            <w:r w:rsidRPr="006B0E0A">
              <w:rPr>
                <w:b/>
                <w:bCs/>
                <w:i/>
                <w:iCs/>
                <w:sz w:val="22"/>
                <w:szCs w:val="22"/>
              </w:rPr>
              <w:t>на страницах в информационно-телекоммуникационной сети «Интернет» (выше и далее – сеть Интернет), используемых Эмитентом для раскрытия информации по адресам:</w:t>
            </w:r>
            <w:r w:rsidRPr="006B0E0A">
              <w:rPr>
                <w:sz w:val="22"/>
                <w:szCs w:val="22"/>
              </w:rPr>
              <w:t xml:space="preserve"> </w:t>
            </w:r>
            <w:hyperlink r:id="rId8" w:history="1">
              <w:r w:rsidRPr="006B0E0A">
                <w:rPr>
                  <w:rStyle w:val="a3"/>
                  <w:b/>
                  <w:bCs/>
                  <w:i/>
                  <w:iCs/>
                  <w:sz w:val="22"/>
                  <w:szCs w:val="22"/>
                </w:rPr>
                <w:t>http://www.e-disclosure.</w:t>
              </w:r>
              <w:r w:rsidRPr="006B0E0A">
                <w:rPr>
                  <w:rStyle w:val="a3"/>
                  <w:b/>
                  <w:bCs/>
                  <w:i/>
                  <w:iCs/>
                  <w:sz w:val="22"/>
                  <w:szCs w:val="22"/>
                  <w:lang w:val="en-US"/>
                </w:rPr>
                <w:t>ru</w:t>
              </w:r>
              <w:r w:rsidRPr="006B0E0A">
                <w:rPr>
                  <w:rStyle w:val="a3"/>
                  <w:b/>
                  <w:bCs/>
                  <w:i/>
                  <w:iCs/>
                  <w:sz w:val="22"/>
                  <w:szCs w:val="22"/>
                </w:rPr>
                <w:t>/</w:t>
              </w:r>
              <w:r w:rsidRPr="006B0E0A">
                <w:rPr>
                  <w:rStyle w:val="a3"/>
                  <w:b/>
                  <w:bCs/>
                  <w:i/>
                  <w:iCs/>
                  <w:sz w:val="22"/>
                  <w:szCs w:val="22"/>
                  <w:lang w:val="en-US"/>
                </w:rPr>
                <w:t>portal</w:t>
              </w:r>
              <w:r w:rsidRPr="006B0E0A">
                <w:rPr>
                  <w:rStyle w:val="a3"/>
                  <w:b/>
                  <w:bCs/>
                  <w:i/>
                  <w:iCs/>
                  <w:sz w:val="22"/>
                  <w:szCs w:val="22"/>
                </w:rPr>
                <w:t>/</w:t>
              </w:r>
              <w:r w:rsidRPr="006B0E0A">
                <w:rPr>
                  <w:rStyle w:val="a3"/>
                  <w:b/>
                  <w:bCs/>
                  <w:i/>
                  <w:iCs/>
                  <w:sz w:val="22"/>
                  <w:szCs w:val="22"/>
                  <w:lang w:val="en-US"/>
                </w:rPr>
                <w:t>company</w:t>
              </w:r>
              <w:r w:rsidRPr="006B0E0A">
                <w:rPr>
                  <w:rStyle w:val="a3"/>
                  <w:b/>
                  <w:bCs/>
                  <w:i/>
                  <w:iCs/>
                  <w:sz w:val="22"/>
                  <w:szCs w:val="22"/>
                </w:rPr>
                <w:t>.</w:t>
              </w:r>
              <w:r w:rsidRPr="006B0E0A">
                <w:rPr>
                  <w:rStyle w:val="a3"/>
                  <w:b/>
                  <w:bCs/>
                  <w:i/>
                  <w:iCs/>
                  <w:sz w:val="22"/>
                  <w:szCs w:val="22"/>
                  <w:lang w:val="en-US"/>
                </w:rPr>
                <w:t>aspx</w:t>
              </w:r>
              <w:r w:rsidRPr="006B0E0A">
                <w:rPr>
                  <w:rStyle w:val="a3"/>
                  <w:b/>
                  <w:bCs/>
                  <w:i/>
                  <w:iCs/>
                  <w:sz w:val="22"/>
                  <w:szCs w:val="22"/>
                </w:rPr>
                <w:t>?</w:t>
              </w:r>
              <w:r w:rsidRPr="006B0E0A">
                <w:rPr>
                  <w:rStyle w:val="a3"/>
                  <w:b/>
                  <w:bCs/>
                  <w:i/>
                  <w:iCs/>
                  <w:sz w:val="22"/>
                  <w:szCs w:val="22"/>
                  <w:lang w:val="en-US"/>
                </w:rPr>
                <w:t>id</w:t>
              </w:r>
              <w:r w:rsidRPr="006B0E0A">
                <w:rPr>
                  <w:rStyle w:val="a3"/>
                  <w:b/>
                  <w:bCs/>
                  <w:i/>
                  <w:iCs/>
                  <w:sz w:val="22"/>
                  <w:szCs w:val="22"/>
                </w:rPr>
                <w:t>=32658</w:t>
              </w:r>
            </w:hyperlink>
            <w:r w:rsidRPr="006B0E0A">
              <w:rPr>
                <w:b/>
                <w:i/>
                <w:sz w:val="22"/>
                <w:szCs w:val="22"/>
              </w:rPr>
              <w:t>,</w:t>
            </w:r>
            <w:r w:rsidRPr="006B0E0A">
              <w:rPr>
                <w:sz w:val="22"/>
                <w:szCs w:val="22"/>
              </w:rPr>
              <w:t xml:space="preserve"> </w:t>
            </w:r>
            <w:hyperlink r:id="rId9" w:history="1">
              <w:r w:rsidRPr="006B0E0A">
                <w:rPr>
                  <w:rStyle w:val="a3"/>
                  <w:b/>
                  <w:bCs/>
                  <w:i/>
                  <w:iCs/>
                  <w:sz w:val="22"/>
                  <w:szCs w:val="22"/>
                </w:rPr>
                <w:t>http://o1properties-finance.ru/</w:t>
              </w:r>
            </w:hyperlink>
            <w:r w:rsidRPr="006B0E0A">
              <w:rPr>
                <w:b/>
                <w:bCs/>
                <w:i/>
                <w:iCs/>
                <w:sz w:val="22"/>
                <w:szCs w:val="22"/>
              </w:rPr>
              <w:t xml:space="preserve"> (далее в совокупности указанные страницы именуются «страницы Эмитента в сети Интернет»)</w:t>
            </w:r>
            <w:r w:rsidRPr="006B0E0A">
              <w:rPr>
                <w:b/>
                <w:i/>
                <w:sz w:val="22"/>
                <w:szCs w:val="22"/>
              </w:rPr>
              <w:t xml:space="preserve"> </w:t>
            </w:r>
            <w:r w:rsidRPr="006B0E0A">
              <w:rPr>
                <w:b/>
                <w:bCs/>
                <w:i/>
                <w:iCs/>
                <w:sz w:val="22"/>
                <w:szCs w:val="22"/>
              </w:rPr>
              <w:t>- не позднее, чем за 1 (Один) день до даты начала размещения Биржевых облигаций.</w:t>
            </w:r>
            <w:proofErr w:type="gramEnd"/>
          </w:p>
          <w:p w:rsidR="006B0E0A" w:rsidRPr="006B0E0A" w:rsidRDefault="006B0E0A" w:rsidP="006B0E0A">
            <w:pPr>
              <w:widowControl w:val="0"/>
              <w:tabs>
                <w:tab w:val="left" w:pos="851"/>
              </w:tabs>
              <w:ind w:left="57" w:right="57"/>
              <w:jc w:val="both"/>
              <w:rPr>
                <w:b/>
                <w:i/>
                <w:sz w:val="22"/>
                <w:szCs w:val="22"/>
              </w:rPr>
            </w:pPr>
            <w:r w:rsidRPr="006B0E0A">
              <w:rPr>
                <w:b/>
                <w:i/>
                <w:sz w:val="22"/>
                <w:szCs w:val="22"/>
              </w:rPr>
              <w:t xml:space="preserve">Эмитент информирует Биржу о принятом решении не позднее 1 (Одного) дня </w:t>
            </w:r>
            <w:proofErr w:type="gramStart"/>
            <w:r w:rsidRPr="006B0E0A">
              <w:rPr>
                <w:b/>
                <w:i/>
                <w:sz w:val="22"/>
                <w:szCs w:val="22"/>
              </w:rPr>
              <w:t>с даты принятия</w:t>
            </w:r>
            <w:proofErr w:type="gramEnd"/>
            <w:r w:rsidRPr="006B0E0A">
              <w:rPr>
                <w:b/>
                <w:i/>
                <w:sz w:val="22"/>
                <w:szCs w:val="22"/>
              </w:rPr>
              <w:t xml:space="preserve"> уполномоченным органом управления Эмитента решения о дате начала размещения Биржевых облигаций.</w:t>
            </w:r>
          </w:p>
          <w:p w:rsidR="006B0E0A" w:rsidRPr="006B0E0A" w:rsidRDefault="006B0E0A" w:rsidP="006B0E0A">
            <w:pPr>
              <w:autoSpaceDE w:val="0"/>
              <w:autoSpaceDN w:val="0"/>
              <w:adjustRightInd w:val="0"/>
              <w:ind w:left="57" w:right="57"/>
              <w:jc w:val="both"/>
              <w:rPr>
                <w:b/>
                <w:bCs/>
                <w:i/>
                <w:iCs/>
                <w:sz w:val="22"/>
                <w:szCs w:val="22"/>
              </w:rPr>
            </w:pPr>
            <w:proofErr w:type="gramStart"/>
            <w:r w:rsidRPr="006B0E0A">
              <w:rPr>
                <w:b/>
                <w:bCs/>
                <w:i/>
                <w:iCs/>
                <w:sz w:val="22"/>
                <w:szCs w:val="22"/>
              </w:rPr>
              <w:t>Дата начала размещения Биржевых облигаций, определенная единоличным исполнительным органом Эмитента, и опубликованная в порядке, указанном выше,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roofErr w:type="gramEnd"/>
          </w:p>
          <w:p w:rsidR="006B0E0A" w:rsidRPr="006B0E0A" w:rsidRDefault="006B0E0A" w:rsidP="006B0E0A">
            <w:pPr>
              <w:autoSpaceDE w:val="0"/>
              <w:autoSpaceDN w:val="0"/>
              <w:adjustRightInd w:val="0"/>
              <w:ind w:left="57" w:right="57"/>
              <w:jc w:val="both"/>
              <w:rPr>
                <w:b/>
                <w:bCs/>
                <w:i/>
                <w:iCs/>
                <w:sz w:val="22"/>
                <w:szCs w:val="22"/>
              </w:rPr>
            </w:pPr>
            <w:proofErr w:type="gramStart"/>
            <w:r w:rsidRPr="006B0E0A">
              <w:rPr>
                <w:b/>
                <w:bCs/>
                <w:i/>
                <w:iCs/>
                <w:sz w:val="22"/>
                <w:szCs w:val="22"/>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страницах Эмитента в сети Интернет не позднее, чем за 1 (Один) день до наступления такой даты.</w:t>
            </w:r>
            <w:proofErr w:type="gramEnd"/>
          </w:p>
          <w:p w:rsidR="006B0E0A" w:rsidRPr="006B0E0A" w:rsidRDefault="006B0E0A" w:rsidP="006B0E0A">
            <w:pPr>
              <w:widowControl w:val="0"/>
              <w:autoSpaceDE w:val="0"/>
              <w:autoSpaceDN w:val="0"/>
              <w:adjustRightInd w:val="0"/>
              <w:ind w:left="57" w:right="57"/>
              <w:jc w:val="both"/>
              <w:rPr>
                <w:b/>
                <w:bCs/>
                <w:i/>
                <w:iCs/>
                <w:sz w:val="22"/>
                <w:szCs w:val="22"/>
              </w:rPr>
            </w:pPr>
            <w:proofErr w:type="gramStart"/>
            <w:r w:rsidRPr="006B0E0A">
              <w:rPr>
                <w:b/>
                <w:bCs/>
                <w:i/>
                <w:iCs/>
                <w:sz w:val="22"/>
                <w:szCs w:val="22"/>
              </w:rPr>
              <w:t>Об изменении даты начала размещения Эмитент уведомляет Биржу и НРД не позднее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даты принятия такого решения уполномоченным органом управления Эмитента, если составление протокола не требуется, но не позднее, чем за 1 (Один) день до наступления</w:t>
            </w:r>
            <w:proofErr w:type="gramEnd"/>
            <w:r w:rsidRPr="006B0E0A">
              <w:rPr>
                <w:b/>
                <w:bCs/>
                <w:i/>
                <w:iCs/>
                <w:sz w:val="22"/>
                <w:szCs w:val="22"/>
              </w:rPr>
              <w:t xml:space="preserve"> такой даты.</w:t>
            </w:r>
          </w:p>
          <w:p w:rsidR="006B0E0A" w:rsidRPr="006B0E0A" w:rsidRDefault="006B0E0A" w:rsidP="006B0E0A">
            <w:pPr>
              <w:autoSpaceDE w:val="0"/>
              <w:autoSpaceDN w:val="0"/>
              <w:adjustRightInd w:val="0"/>
              <w:ind w:left="57" w:right="57"/>
              <w:jc w:val="both"/>
              <w:rPr>
                <w:bCs/>
                <w:sz w:val="22"/>
                <w:szCs w:val="22"/>
              </w:rPr>
            </w:pPr>
            <w:r w:rsidRPr="006B0E0A">
              <w:rPr>
                <w:bCs/>
                <w:sz w:val="22"/>
                <w:szCs w:val="22"/>
              </w:rPr>
              <w:t>Дата окончания размещения, или порядок ее определения:</w:t>
            </w:r>
          </w:p>
          <w:p w:rsidR="006B0E0A" w:rsidRPr="006B0E0A" w:rsidRDefault="006B0E0A" w:rsidP="006B0E0A">
            <w:pPr>
              <w:ind w:left="57" w:right="57"/>
              <w:jc w:val="both"/>
              <w:rPr>
                <w:b/>
                <w:bCs/>
                <w:i/>
                <w:iCs/>
                <w:sz w:val="22"/>
                <w:szCs w:val="22"/>
                <w:lang w:eastAsia="en-US"/>
              </w:rPr>
            </w:pPr>
            <w:r w:rsidRPr="006B0E0A">
              <w:rPr>
                <w:b/>
                <w:bCs/>
                <w:i/>
                <w:iCs/>
                <w:sz w:val="22"/>
                <w:szCs w:val="22"/>
                <w:lang w:eastAsia="en-US"/>
              </w:rPr>
              <w:t xml:space="preserve">Датой окончания размещения Биржевых облигаций является наиболее ранняя из следующих дат: </w:t>
            </w:r>
          </w:p>
          <w:p w:rsidR="006B0E0A" w:rsidRPr="006B0E0A" w:rsidRDefault="006B0E0A" w:rsidP="006B0E0A">
            <w:pPr>
              <w:ind w:left="57" w:right="57"/>
              <w:jc w:val="both"/>
              <w:rPr>
                <w:b/>
                <w:bCs/>
                <w:i/>
                <w:iCs/>
                <w:sz w:val="22"/>
                <w:szCs w:val="22"/>
                <w:lang w:eastAsia="en-US"/>
              </w:rPr>
            </w:pPr>
            <w:r w:rsidRPr="006B0E0A">
              <w:rPr>
                <w:b/>
                <w:bCs/>
                <w:i/>
                <w:iCs/>
                <w:sz w:val="22"/>
                <w:szCs w:val="22"/>
                <w:lang w:eastAsia="en-US"/>
              </w:rPr>
              <w:t xml:space="preserve">а) Дата окончания последнего купонного периода, процентная ставка или порядок определения размера процентной ставки купона </w:t>
            </w:r>
            <w:r w:rsidRPr="006B0E0A">
              <w:rPr>
                <w:b/>
                <w:bCs/>
                <w:i/>
                <w:sz w:val="22"/>
                <w:szCs w:val="22"/>
              </w:rPr>
              <w:t xml:space="preserve">в виде формулы с переменными, значения которых не могут изменяться в зависимости от усмотрения Эмитента, </w:t>
            </w:r>
            <w:r w:rsidRPr="006B0E0A">
              <w:rPr>
                <w:b/>
                <w:bCs/>
                <w:i/>
                <w:iCs/>
                <w:sz w:val="22"/>
                <w:szCs w:val="22"/>
                <w:lang w:eastAsia="en-US"/>
              </w:rPr>
              <w:t xml:space="preserve">которого была определена Эмитентом не позднее даты начала размещения ценных бумаг в соответствии с п. 9.3. Решения о выпуске ценных бумаг; </w:t>
            </w:r>
          </w:p>
          <w:p w:rsidR="006B0E0A" w:rsidRPr="006B0E0A" w:rsidRDefault="006B0E0A" w:rsidP="006B0E0A">
            <w:pPr>
              <w:ind w:left="57" w:right="57"/>
              <w:jc w:val="both"/>
              <w:rPr>
                <w:b/>
                <w:bCs/>
                <w:i/>
                <w:iCs/>
                <w:sz w:val="22"/>
                <w:szCs w:val="22"/>
                <w:lang w:eastAsia="en-US"/>
              </w:rPr>
            </w:pPr>
            <w:r w:rsidRPr="006B0E0A">
              <w:rPr>
                <w:b/>
                <w:bCs/>
                <w:i/>
                <w:iCs/>
                <w:sz w:val="22"/>
                <w:szCs w:val="22"/>
                <w:lang w:eastAsia="en-US"/>
              </w:rPr>
              <w:t>б) дата размещения последней Биржевой облигации выпуска.</w:t>
            </w:r>
          </w:p>
          <w:p w:rsidR="006B5A98" w:rsidRPr="006B0E0A" w:rsidRDefault="006B5A98" w:rsidP="006B5A98">
            <w:pPr>
              <w:pStyle w:val="ConsPlusNormal"/>
              <w:ind w:left="57" w:right="57"/>
              <w:jc w:val="both"/>
              <w:rPr>
                <w:b/>
                <w:bCs/>
                <w:i/>
                <w:iCs/>
                <w:lang w:eastAsia="en-US"/>
              </w:rPr>
            </w:pPr>
            <w:r>
              <w:t>2.10. 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r w:rsidR="006B0E0A">
              <w:t xml:space="preserve"> </w:t>
            </w:r>
            <w:r w:rsidR="006B0E0A" w:rsidRPr="006B0E0A">
              <w:rPr>
                <w:b/>
                <w:bCs/>
                <w:i/>
                <w:iCs/>
                <w:lang w:eastAsia="en-US"/>
              </w:rPr>
              <w:t xml:space="preserve">бирже ЗАО «ФБ ММВБ» </w:t>
            </w:r>
            <w:r w:rsidR="006B0E0A">
              <w:rPr>
                <w:b/>
                <w:bCs/>
                <w:i/>
                <w:iCs/>
                <w:lang w:eastAsia="en-US"/>
              </w:rPr>
              <w:t xml:space="preserve">предоставлен </w:t>
            </w:r>
            <w:r w:rsidR="006B0E0A" w:rsidRPr="006B0E0A">
              <w:rPr>
                <w:b/>
                <w:bCs/>
                <w:i/>
                <w:iCs/>
                <w:lang w:eastAsia="en-US"/>
              </w:rPr>
              <w:t>Проспекта ценных бумаг.</w:t>
            </w:r>
          </w:p>
          <w:p w:rsidR="006B0E0A" w:rsidRPr="006B0E0A" w:rsidRDefault="006B5A98" w:rsidP="006B0E0A">
            <w:pPr>
              <w:pStyle w:val="ConsPlusNormal"/>
              <w:ind w:left="57" w:right="57"/>
              <w:jc w:val="both"/>
              <w:rPr>
                <w:b/>
                <w:bCs/>
                <w:i/>
                <w:iCs/>
                <w:lang w:eastAsia="en-US"/>
              </w:rPr>
            </w:pPr>
            <w:r>
              <w:t xml:space="preserve">2.11. В </w:t>
            </w:r>
            <w:proofErr w:type="gramStart"/>
            <w:r>
              <w:t>случае</w:t>
            </w:r>
            <w:proofErr w:type="gramEnd"/>
            <w:r>
              <w:t xml:space="preserve"> представления бирже проспекта биржевых облигаций или российских депозитарных расписок порядок обеспечения доступа к информации, содержащейся в проспекте указанных ценных бумаг:</w:t>
            </w:r>
            <w:r w:rsidR="006B0E0A">
              <w:t xml:space="preserve"> </w:t>
            </w:r>
            <w:proofErr w:type="gramStart"/>
            <w:r w:rsidR="006B0E0A" w:rsidRPr="006B0E0A">
              <w:rPr>
                <w:b/>
                <w:bCs/>
                <w:i/>
                <w:iCs/>
                <w:lang w:eastAsia="en-US"/>
              </w:rPr>
              <w:t>Эмитент раскрывает тексты Решения о выпуске ценных бумаг и Проспекта ценных бумаг  на страницах Эмитента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сети Интернет информации о включении биржевых</w:t>
            </w:r>
            <w:proofErr w:type="gramEnd"/>
            <w:r w:rsidR="006B0E0A" w:rsidRPr="006B0E0A">
              <w:rPr>
                <w:b/>
                <w:bCs/>
                <w:i/>
                <w:iCs/>
                <w:lang w:eastAsia="en-US"/>
              </w:rPr>
              <w:t xml:space="preserve"> </w:t>
            </w:r>
            <w:proofErr w:type="gramStart"/>
            <w:r w:rsidR="006B0E0A" w:rsidRPr="006B0E0A">
              <w:rPr>
                <w:b/>
                <w:bCs/>
                <w:i/>
                <w:iCs/>
                <w:lang w:eastAsia="en-US"/>
              </w:rPr>
              <w:t>облигаций в Список и присвоении их выпуску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 начала размещения биржевых облигаций.</w:t>
            </w:r>
            <w:proofErr w:type="gramEnd"/>
          </w:p>
          <w:p w:rsidR="006B0E0A" w:rsidRPr="006B0E0A" w:rsidRDefault="006B0E0A" w:rsidP="006B0E0A">
            <w:pPr>
              <w:pStyle w:val="ConsPlusNormal"/>
              <w:ind w:left="57" w:right="57"/>
              <w:jc w:val="both"/>
              <w:rPr>
                <w:b/>
                <w:bCs/>
                <w:i/>
                <w:iCs/>
                <w:lang w:eastAsia="en-US"/>
              </w:rPr>
            </w:pPr>
            <w:r w:rsidRPr="006B0E0A">
              <w:rPr>
                <w:b/>
                <w:bCs/>
                <w:i/>
                <w:iCs/>
                <w:lang w:eastAsia="en-US"/>
              </w:rPr>
              <w:t>Тексты Решения о выпуске ценных бумаг и Проспекта ценных бумаг должны быть доступны на страницах Эмитента в сети Интернет с даты их раскрытия в сети Интернет и до погашения (аннулирования) всех Биржевых облигаций этого выпуска.</w:t>
            </w:r>
          </w:p>
          <w:p w:rsidR="006B0E0A" w:rsidRPr="006B0E0A" w:rsidRDefault="006B0E0A" w:rsidP="006B0E0A">
            <w:pPr>
              <w:pStyle w:val="ConsPlusNormal"/>
              <w:ind w:left="57" w:right="57"/>
              <w:jc w:val="both"/>
              <w:rPr>
                <w:b/>
                <w:bCs/>
                <w:i/>
                <w:iCs/>
                <w:lang w:eastAsia="en-US"/>
              </w:rPr>
            </w:pPr>
            <w:r w:rsidRPr="006B0E0A">
              <w:rPr>
                <w:b/>
                <w:bCs/>
                <w:i/>
                <w:iCs/>
                <w:lang w:eastAsia="en-US"/>
              </w:rPr>
              <w:t xml:space="preserve">Все заинтересованные лица могут ознакомиться с Решением о выпуске ценных бумаг и Проспектом ценных бумаг и получить их копии за плату, не превышающую затраты на их изготовление. </w:t>
            </w:r>
          </w:p>
          <w:p w:rsidR="00F85F35" w:rsidRPr="009E5909" w:rsidRDefault="006B0E0A" w:rsidP="006B0E0A">
            <w:pPr>
              <w:pStyle w:val="ConsPlusNormal"/>
              <w:ind w:left="57" w:right="57"/>
              <w:jc w:val="both"/>
              <w:rPr>
                <w:b/>
                <w:bCs/>
                <w:iCs/>
              </w:rPr>
            </w:pPr>
            <w:r w:rsidRPr="006B0E0A">
              <w:rPr>
                <w:b/>
                <w:bCs/>
                <w:i/>
                <w:iCs/>
                <w:lang w:eastAsia="en-US"/>
              </w:rPr>
              <w:lastRenderedPageBreak/>
              <w:t>Эмитент  Биржа, осуществившая допуск Биржевых облигаций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tc>
      </w:tr>
    </w:tbl>
    <w:p w:rsidR="00D0309C" w:rsidRPr="009E5909" w:rsidRDefault="00D0309C" w:rsidP="00384031">
      <w:pPr>
        <w:jc w:val="center"/>
        <w:rPr>
          <w:sz w:val="22"/>
          <w:szCs w:val="22"/>
        </w:rPr>
      </w:pPr>
    </w:p>
    <w:tbl>
      <w:tblPr>
        <w:tblpPr w:leftFromText="180" w:rightFromText="180" w:vertAnchor="text" w:horzAnchor="margin"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406"/>
        <w:gridCol w:w="283"/>
        <w:gridCol w:w="1559"/>
        <w:gridCol w:w="397"/>
        <w:gridCol w:w="340"/>
        <w:gridCol w:w="219"/>
        <w:gridCol w:w="2835"/>
        <w:gridCol w:w="141"/>
        <w:gridCol w:w="2835"/>
      </w:tblGrid>
      <w:tr w:rsidR="00A94398" w:rsidRPr="009E5909" w:rsidTr="00602626">
        <w:tc>
          <w:tcPr>
            <w:tcW w:w="10234" w:type="dxa"/>
            <w:gridSpan w:val="10"/>
          </w:tcPr>
          <w:p w:rsidR="00A94398" w:rsidRPr="009E5909" w:rsidRDefault="00A94398" w:rsidP="00384031">
            <w:pPr>
              <w:jc w:val="center"/>
              <w:rPr>
                <w:sz w:val="22"/>
                <w:szCs w:val="22"/>
              </w:rPr>
            </w:pPr>
            <w:r w:rsidRPr="009E5909">
              <w:rPr>
                <w:sz w:val="22"/>
                <w:szCs w:val="22"/>
              </w:rPr>
              <w:t>3. Подпись</w:t>
            </w:r>
          </w:p>
        </w:tc>
      </w:tr>
      <w:tr w:rsidR="00A94398" w:rsidRPr="009E5909" w:rsidTr="0060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423" w:type="dxa"/>
            <w:gridSpan w:val="7"/>
            <w:tcBorders>
              <w:top w:val="nil"/>
              <w:left w:val="single" w:sz="4" w:space="0" w:color="auto"/>
              <w:bottom w:val="nil"/>
              <w:right w:val="nil"/>
            </w:tcBorders>
          </w:tcPr>
          <w:p w:rsidR="00A94398" w:rsidRPr="009E5909" w:rsidRDefault="00A94398" w:rsidP="00384031">
            <w:pPr>
              <w:rPr>
                <w:sz w:val="22"/>
                <w:szCs w:val="22"/>
              </w:rPr>
            </w:pPr>
          </w:p>
          <w:p w:rsidR="00A94398" w:rsidRPr="009E5909" w:rsidRDefault="00A94398" w:rsidP="004A67C5">
            <w:pPr>
              <w:rPr>
                <w:sz w:val="22"/>
                <w:szCs w:val="22"/>
              </w:rPr>
            </w:pPr>
            <w:r w:rsidRPr="009E5909">
              <w:rPr>
                <w:sz w:val="22"/>
                <w:szCs w:val="22"/>
              </w:rPr>
              <w:t xml:space="preserve">3.1.  </w:t>
            </w:r>
            <w:r w:rsidR="004A67C5" w:rsidRPr="009E5909">
              <w:rPr>
                <w:sz w:val="22"/>
                <w:szCs w:val="22"/>
              </w:rPr>
              <w:t>Генеральный директор</w:t>
            </w:r>
          </w:p>
        </w:tc>
        <w:tc>
          <w:tcPr>
            <w:tcW w:w="2835" w:type="dxa"/>
            <w:tcBorders>
              <w:top w:val="nil"/>
              <w:left w:val="nil"/>
              <w:bottom w:val="single" w:sz="4" w:space="0" w:color="auto"/>
              <w:right w:val="nil"/>
            </w:tcBorders>
          </w:tcPr>
          <w:p w:rsidR="00A94398" w:rsidRPr="009E5909" w:rsidRDefault="00A94398" w:rsidP="00384031">
            <w:pPr>
              <w:jc w:val="both"/>
              <w:rPr>
                <w:sz w:val="22"/>
                <w:szCs w:val="22"/>
              </w:rPr>
            </w:pPr>
          </w:p>
        </w:tc>
        <w:tc>
          <w:tcPr>
            <w:tcW w:w="141" w:type="dxa"/>
            <w:tcBorders>
              <w:top w:val="nil"/>
              <w:left w:val="nil"/>
              <w:bottom w:val="nil"/>
              <w:right w:val="nil"/>
            </w:tcBorders>
          </w:tcPr>
          <w:p w:rsidR="00A94398" w:rsidRPr="009E5909" w:rsidRDefault="00A94398" w:rsidP="00384031">
            <w:pPr>
              <w:jc w:val="both"/>
              <w:rPr>
                <w:sz w:val="22"/>
                <w:szCs w:val="22"/>
              </w:rPr>
            </w:pPr>
          </w:p>
        </w:tc>
        <w:tc>
          <w:tcPr>
            <w:tcW w:w="2835" w:type="dxa"/>
            <w:tcBorders>
              <w:top w:val="nil"/>
              <w:left w:val="nil"/>
              <w:bottom w:val="nil"/>
              <w:right w:val="single" w:sz="4" w:space="0" w:color="auto"/>
            </w:tcBorders>
            <w:vAlign w:val="bottom"/>
          </w:tcPr>
          <w:p w:rsidR="00A94398" w:rsidRPr="009E5909" w:rsidRDefault="00483D05" w:rsidP="00483D05">
            <w:pPr>
              <w:jc w:val="center"/>
              <w:rPr>
                <w:b/>
                <w:sz w:val="22"/>
                <w:szCs w:val="22"/>
              </w:rPr>
            </w:pPr>
            <w:r w:rsidRPr="00483D05">
              <w:rPr>
                <w:sz w:val="22"/>
                <w:szCs w:val="22"/>
              </w:rPr>
              <w:t>Н.Г. Калашников</w:t>
            </w:r>
          </w:p>
        </w:tc>
      </w:tr>
      <w:tr w:rsidR="00A94398" w:rsidRPr="009E5909" w:rsidTr="0060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423" w:type="dxa"/>
            <w:gridSpan w:val="7"/>
            <w:tcBorders>
              <w:top w:val="nil"/>
              <w:left w:val="single" w:sz="4" w:space="0" w:color="auto"/>
              <w:bottom w:val="nil"/>
              <w:right w:val="nil"/>
            </w:tcBorders>
          </w:tcPr>
          <w:p w:rsidR="00A94398" w:rsidRPr="009E5909" w:rsidRDefault="00A94398" w:rsidP="00384031">
            <w:pPr>
              <w:jc w:val="both"/>
              <w:rPr>
                <w:sz w:val="22"/>
                <w:szCs w:val="22"/>
              </w:rPr>
            </w:pPr>
          </w:p>
        </w:tc>
        <w:tc>
          <w:tcPr>
            <w:tcW w:w="2835" w:type="dxa"/>
            <w:tcBorders>
              <w:top w:val="nil"/>
              <w:left w:val="nil"/>
              <w:bottom w:val="nil"/>
              <w:right w:val="nil"/>
            </w:tcBorders>
          </w:tcPr>
          <w:p w:rsidR="00A94398" w:rsidRPr="009E5909" w:rsidRDefault="00A94398" w:rsidP="003E13E5">
            <w:pPr>
              <w:jc w:val="center"/>
              <w:rPr>
                <w:sz w:val="22"/>
                <w:szCs w:val="22"/>
              </w:rPr>
            </w:pPr>
            <w:r w:rsidRPr="009E5909">
              <w:rPr>
                <w:sz w:val="22"/>
                <w:szCs w:val="22"/>
              </w:rPr>
              <w:t>(подпись)</w:t>
            </w:r>
          </w:p>
        </w:tc>
        <w:tc>
          <w:tcPr>
            <w:tcW w:w="141" w:type="dxa"/>
            <w:tcBorders>
              <w:top w:val="nil"/>
              <w:left w:val="nil"/>
              <w:bottom w:val="nil"/>
              <w:right w:val="nil"/>
            </w:tcBorders>
          </w:tcPr>
          <w:p w:rsidR="00A94398" w:rsidRPr="009E5909" w:rsidRDefault="00A94398" w:rsidP="00384031">
            <w:pPr>
              <w:jc w:val="both"/>
              <w:rPr>
                <w:sz w:val="22"/>
                <w:szCs w:val="22"/>
              </w:rPr>
            </w:pPr>
          </w:p>
        </w:tc>
        <w:tc>
          <w:tcPr>
            <w:tcW w:w="2835" w:type="dxa"/>
            <w:tcBorders>
              <w:top w:val="nil"/>
              <w:left w:val="nil"/>
              <w:bottom w:val="nil"/>
              <w:right w:val="single" w:sz="4" w:space="0" w:color="auto"/>
            </w:tcBorders>
          </w:tcPr>
          <w:p w:rsidR="00A94398" w:rsidRPr="009E5909" w:rsidRDefault="00A94398" w:rsidP="00384031">
            <w:pPr>
              <w:jc w:val="both"/>
              <w:rPr>
                <w:sz w:val="22"/>
                <w:szCs w:val="22"/>
              </w:rPr>
            </w:pPr>
          </w:p>
        </w:tc>
      </w:tr>
      <w:tr w:rsidR="00A94398" w:rsidRPr="009E5909" w:rsidTr="0060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19" w:type="dxa"/>
            <w:tcBorders>
              <w:top w:val="nil"/>
              <w:left w:val="single" w:sz="4" w:space="0" w:color="auto"/>
              <w:bottom w:val="nil"/>
              <w:right w:val="nil"/>
            </w:tcBorders>
            <w:vAlign w:val="bottom"/>
          </w:tcPr>
          <w:p w:rsidR="00A94398" w:rsidRPr="009E5909" w:rsidRDefault="00A94398" w:rsidP="00384031">
            <w:pPr>
              <w:jc w:val="both"/>
              <w:rPr>
                <w:sz w:val="22"/>
                <w:szCs w:val="22"/>
              </w:rPr>
            </w:pPr>
            <w:r w:rsidRPr="009E5909">
              <w:rPr>
                <w:sz w:val="22"/>
                <w:szCs w:val="22"/>
              </w:rPr>
              <w:t>3.2. Дата “</w:t>
            </w:r>
          </w:p>
        </w:tc>
        <w:tc>
          <w:tcPr>
            <w:tcW w:w="406" w:type="dxa"/>
            <w:tcBorders>
              <w:top w:val="nil"/>
              <w:left w:val="nil"/>
              <w:bottom w:val="single" w:sz="4" w:space="0" w:color="auto"/>
              <w:right w:val="nil"/>
            </w:tcBorders>
            <w:vAlign w:val="bottom"/>
          </w:tcPr>
          <w:p w:rsidR="00A94398" w:rsidRPr="00483D05" w:rsidRDefault="00826FD4" w:rsidP="009D7B5C">
            <w:pPr>
              <w:jc w:val="both"/>
              <w:rPr>
                <w:sz w:val="22"/>
                <w:szCs w:val="22"/>
              </w:rPr>
            </w:pPr>
            <w:r>
              <w:rPr>
                <w:sz w:val="22"/>
                <w:szCs w:val="22"/>
              </w:rPr>
              <w:t>13</w:t>
            </w:r>
            <w:bookmarkStart w:id="0" w:name="_GoBack"/>
            <w:bookmarkEnd w:id="0"/>
          </w:p>
        </w:tc>
        <w:tc>
          <w:tcPr>
            <w:tcW w:w="283" w:type="dxa"/>
            <w:tcBorders>
              <w:top w:val="nil"/>
              <w:left w:val="nil"/>
              <w:bottom w:val="nil"/>
              <w:right w:val="nil"/>
            </w:tcBorders>
            <w:vAlign w:val="bottom"/>
          </w:tcPr>
          <w:p w:rsidR="00A94398" w:rsidRPr="00483D05" w:rsidRDefault="00A94398" w:rsidP="00384031">
            <w:pPr>
              <w:jc w:val="both"/>
              <w:rPr>
                <w:sz w:val="22"/>
                <w:szCs w:val="22"/>
              </w:rPr>
            </w:pPr>
            <w:r w:rsidRPr="00483D05">
              <w:rPr>
                <w:sz w:val="22"/>
                <w:szCs w:val="22"/>
              </w:rPr>
              <w:t>”</w:t>
            </w:r>
          </w:p>
        </w:tc>
        <w:tc>
          <w:tcPr>
            <w:tcW w:w="1559" w:type="dxa"/>
            <w:tcBorders>
              <w:top w:val="nil"/>
              <w:left w:val="nil"/>
              <w:bottom w:val="single" w:sz="4" w:space="0" w:color="auto"/>
              <w:right w:val="nil"/>
            </w:tcBorders>
            <w:vAlign w:val="bottom"/>
          </w:tcPr>
          <w:p w:rsidR="00A94398" w:rsidRPr="00483D05" w:rsidRDefault="006B5A98" w:rsidP="00B00361">
            <w:pPr>
              <w:jc w:val="center"/>
              <w:rPr>
                <w:sz w:val="22"/>
                <w:szCs w:val="22"/>
              </w:rPr>
            </w:pPr>
            <w:r>
              <w:rPr>
                <w:sz w:val="22"/>
                <w:szCs w:val="22"/>
              </w:rPr>
              <w:t>августа</w:t>
            </w:r>
          </w:p>
        </w:tc>
        <w:tc>
          <w:tcPr>
            <w:tcW w:w="397" w:type="dxa"/>
            <w:tcBorders>
              <w:top w:val="nil"/>
              <w:left w:val="nil"/>
              <w:bottom w:val="nil"/>
              <w:right w:val="nil"/>
            </w:tcBorders>
            <w:vAlign w:val="bottom"/>
          </w:tcPr>
          <w:p w:rsidR="00A94398" w:rsidRPr="00483D05" w:rsidRDefault="00A94398" w:rsidP="00384031">
            <w:pPr>
              <w:jc w:val="both"/>
              <w:rPr>
                <w:sz w:val="22"/>
                <w:szCs w:val="22"/>
              </w:rPr>
            </w:pPr>
            <w:r w:rsidRPr="00483D05">
              <w:rPr>
                <w:sz w:val="22"/>
                <w:szCs w:val="22"/>
              </w:rPr>
              <w:t>20</w:t>
            </w:r>
          </w:p>
        </w:tc>
        <w:tc>
          <w:tcPr>
            <w:tcW w:w="340" w:type="dxa"/>
            <w:tcBorders>
              <w:top w:val="nil"/>
              <w:left w:val="nil"/>
              <w:bottom w:val="single" w:sz="4" w:space="0" w:color="auto"/>
              <w:right w:val="nil"/>
            </w:tcBorders>
            <w:vAlign w:val="bottom"/>
          </w:tcPr>
          <w:p w:rsidR="00A94398" w:rsidRPr="00483D05" w:rsidRDefault="00A94398" w:rsidP="00483D05">
            <w:pPr>
              <w:jc w:val="both"/>
              <w:rPr>
                <w:sz w:val="22"/>
                <w:szCs w:val="22"/>
              </w:rPr>
            </w:pPr>
            <w:r w:rsidRPr="00483D05">
              <w:rPr>
                <w:sz w:val="22"/>
                <w:szCs w:val="22"/>
              </w:rPr>
              <w:t>1</w:t>
            </w:r>
            <w:r w:rsidR="00483D05" w:rsidRPr="00483D05">
              <w:rPr>
                <w:sz w:val="22"/>
                <w:szCs w:val="22"/>
              </w:rPr>
              <w:t>5</w:t>
            </w:r>
          </w:p>
        </w:tc>
        <w:tc>
          <w:tcPr>
            <w:tcW w:w="6030" w:type="dxa"/>
            <w:gridSpan w:val="4"/>
            <w:tcBorders>
              <w:top w:val="nil"/>
              <w:left w:val="nil"/>
              <w:bottom w:val="nil"/>
              <w:right w:val="single" w:sz="4" w:space="0" w:color="auto"/>
            </w:tcBorders>
            <w:vAlign w:val="bottom"/>
          </w:tcPr>
          <w:p w:rsidR="00A94398" w:rsidRPr="00483D05" w:rsidRDefault="00A94398" w:rsidP="00384031">
            <w:pPr>
              <w:tabs>
                <w:tab w:val="left" w:pos="1219"/>
              </w:tabs>
              <w:jc w:val="both"/>
              <w:rPr>
                <w:b/>
                <w:sz w:val="22"/>
                <w:szCs w:val="22"/>
              </w:rPr>
            </w:pPr>
            <w:r w:rsidRPr="00483D05">
              <w:rPr>
                <w:sz w:val="22"/>
                <w:szCs w:val="22"/>
              </w:rPr>
              <w:t>г.</w:t>
            </w:r>
            <w:r w:rsidRPr="00483D05">
              <w:rPr>
                <w:b/>
                <w:sz w:val="22"/>
                <w:szCs w:val="22"/>
              </w:rPr>
              <w:tab/>
            </w:r>
            <w:r w:rsidRPr="00483D05">
              <w:rPr>
                <w:sz w:val="22"/>
                <w:szCs w:val="22"/>
              </w:rPr>
              <w:t>М.П.</w:t>
            </w:r>
          </w:p>
        </w:tc>
      </w:tr>
      <w:tr w:rsidR="00A94398" w:rsidRPr="009E5909" w:rsidTr="0060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4" w:type="dxa"/>
            <w:gridSpan w:val="10"/>
            <w:tcBorders>
              <w:top w:val="nil"/>
              <w:left w:val="single" w:sz="4" w:space="0" w:color="auto"/>
              <w:bottom w:val="single" w:sz="4" w:space="0" w:color="auto"/>
              <w:right w:val="single" w:sz="4" w:space="0" w:color="auto"/>
            </w:tcBorders>
          </w:tcPr>
          <w:p w:rsidR="00A94398" w:rsidRPr="009E5909" w:rsidRDefault="00A94398" w:rsidP="00384031">
            <w:pPr>
              <w:jc w:val="both"/>
              <w:rPr>
                <w:sz w:val="22"/>
                <w:szCs w:val="22"/>
              </w:rPr>
            </w:pPr>
          </w:p>
        </w:tc>
      </w:tr>
    </w:tbl>
    <w:p w:rsidR="00D0309C" w:rsidRPr="009E5909" w:rsidRDefault="00D0309C" w:rsidP="00384031">
      <w:pPr>
        <w:rPr>
          <w:sz w:val="22"/>
          <w:szCs w:val="22"/>
        </w:rPr>
      </w:pPr>
    </w:p>
    <w:p w:rsidR="00384031" w:rsidRPr="009E5909" w:rsidRDefault="00384031">
      <w:pPr>
        <w:rPr>
          <w:sz w:val="22"/>
          <w:szCs w:val="22"/>
        </w:rPr>
      </w:pPr>
    </w:p>
    <w:sectPr w:rsidR="00384031" w:rsidRPr="009E5909" w:rsidSect="001C22A7">
      <w:pgSz w:w="11906" w:h="16838" w:code="9"/>
      <w:pgMar w:top="709"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69D"/>
    <w:multiLevelType w:val="hybridMultilevel"/>
    <w:tmpl w:val="CB96D616"/>
    <w:lvl w:ilvl="0" w:tplc="E1AAB8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7136741"/>
    <w:multiLevelType w:val="hybridMultilevel"/>
    <w:tmpl w:val="A1BC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C3735"/>
    <w:multiLevelType w:val="hybridMultilevel"/>
    <w:tmpl w:val="7054A0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9C"/>
    <w:rsid w:val="00033C97"/>
    <w:rsid w:val="00046EF2"/>
    <w:rsid w:val="00066EB3"/>
    <w:rsid w:val="000946B5"/>
    <w:rsid w:val="000A0540"/>
    <w:rsid w:val="00111F3F"/>
    <w:rsid w:val="00122F6B"/>
    <w:rsid w:val="0013085B"/>
    <w:rsid w:val="00197AD9"/>
    <w:rsid w:val="001B6E12"/>
    <w:rsid w:val="001C22A7"/>
    <w:rsid w:val="00221450"/>
    <w:rsid w:val="0022389A"/>
    <w:rsid w:val="002363CA"/>
    <w:rsid w:val="00296ED9"/>
    <w:rsid w:val="002B0E34"/>
    <w:rsid w:val="002D7DB6"/>
    <w:rsid w:val="003278EF"/>
    <w:rsid w:val="003329D7"/>
    <w:rsid w:val="00384031"/>
    <w:rsid w:val="00387DC2"/>
    <w:rsid w:val="003B26E1"/>
    <w:rsid w:val="003D738E"/>
    <w:rsid w:val="003E13E5"/>
    <w:rsid w:val="0044601A"/>
    <w:rsid w:val="004735B3"/>
    <w:rsid w:val="00475D5D"/>
    <w:rsid w:val="00483D05"/>
    <w:rsid w:val="0049653D"/>
    <w:rsid w:val="004A67C5"/>
    <w:rsid w:val="004B2B24"/>
    <w:rsid w:val="004D23A4"/>
    <w:rsid w:val="00505406"/>
    <w:rsid w:val="00524751"/>
    <w:rsid w:val="00533A6B"/>
    <w:rsid w:val="005656CC"/>
    <w:rsid w:val="005B7BF6"/>
    <w:rsid w:val="005C77CB"/>
    <w:rsid w:val="005D5446"/>
    <w:rsid w:val="005F63B0"/>
    <w:rsid w:val="00602626"/>
    <w:rsid w:val="00676331"/>
    <w:rsid w:val="00696F0F"/>
    <w:rsid w:val="006972AD"/>
    <w:rsid w:val="006A5629"/>
    <w:rsid w:val="006B0E0A"/>
    <w:rsid w:val="006B5A98"/>
    <w:rsid w:val="006E41C9"/>
    <w:rsid w:val="006F67A8"/>
    <w:rsid w:val="00733CEC"/>
    <w:rsid w:val="007806D1"/>
    <w:rsid w:val="007C7186"/>
    <w:rsid w:val="00826FD4"/>
    <w:rsid w:val="00827CD9"/>
    <w:rsid w:val="008516DC"/>
    <w:rsid w:val="00864A2C"/>
    <w:rsid w:val="00865444"/>
    <w:rsid w:val="00876D92"/>
    <w:rsid w:val="008A4CE5"/>
    <w:rsid w:val="008F7999"/>
    <w:rsid w:val="00955C29"/>
    <w:rsid w:val="009656C5"/>
    <w:rsid w:val="00971C51"/>
    <w:rsid w:val="00981B7A"/>
    <w:rsid w:val="009C3277"/>
    <w:rsid w:val="009D7B5C"/>
    <w:rsid w:val="009E5909"/>
    <w:rsid w:val="00A11073"/>
    <w:rsid w:val="00A24A46"/>
    <w:rsid w:val="00A50B23"/>
    <w:rsid w:val="00A94398"/>
    <w:rsid w:val="00AB13ED"/>
    <w:rsid w:val="00B00361"/>
    <w:rsid w:val="00B27588"/>
    <w:rsid w:val="00B60706"/>
    <w:rsid w:val="00B815B6"/>
    <w:rsid w:val="00B8710F"/>
    <w:rsid w:val="00B94A2A"/>
    <w:rsid w:val="00BA6E02"/>
    <w:rsid w:val="00BD5BAA"/>
    <w:rsid w:val="00C3523F"/>
    <w:rsid w:val="00C37AF2"/>
    <w:rsid w:val="00C4062C"/>
    <w:rsid w:val="00CA1EF5"/>
    <w:rsid w:val="00CC49A2"/>
    <w:rsid w:val="00D0309C"/>
    <w:rsid w:val="00D04359"/>
    <w:rsid w:val="00D269CB"/>
    <w:rsid w:val="00D316CF"/>
    <w:rsid w:val="00D33BBB"/>
    <w:rsid w:val="00D35F5A"/>
    <w:rsid w:val="00D61C68"/>
    <w:rsid w:val="00D6481D"/>
    <w:rsid w:val="00DB4DD9"/>
    <w:rsid w:val="00DB6A89"/>
    <w:rsid w:val="00E01852"/>
    <w:rsid w:val="00E34CD4"/>
    <w:rsid w:val="00E377E2"/>
    <w:rsid w:val="00E5734D"/>
    <w:rsid w:val="00E8474C"/>
    <w:rsid w:val="00EA3614"/>
    <w:rsid w:val="00EB51E3"/>
    <w:rsid w:val="00EB7726"/>
    <w:rsid w:val="00EC12ED"/>
    <w:rsid w:val="00F2052A"/>
    <w:rsid w:val="00F85F35"/>
    <w:rsid w:val="00FD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09C"/>
    <w:rPr>
      <w:sz w:val="24"/>
      <w:szCs w:val="24"/>
    </w:rPr>
  </w:style>
  <w:style w:type="paragraph" w:styleId="1">
    <w:name w:val="heading 1"/>
    <w:basedOn w:val="a"/>
    <w:next w:val="a"/>
    <w:qFormat/>
    <w:rsid w:val="00D0309C"/>
    <w:pPr>
      <w:keepNext/>
      <w:autoSpaceDE w:val="0"/>
      <w:autoSpaceDN w:val="0"/>
      <w:ind w:left="57" w:right="57"/>
      <w:jc w:val="both"/>
      <w:outlineLvl w:val="0"/>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rsid w:val="00D0309C"/>
    <w:rPr>
      <w:b/>
      <w:bCs/>
      <w:i/>
      <w:iCs/>
      <w:sz w:val="22"/>
      <w:szCs w:val="22"/>
    </w:rPr>
  </w:style>
  <w:style w:type="character" w:styleId="a3">
    <w:name w:val="Hyperlink"/>
    <w:basedOn w:val="a0"/>
    <w:uiPriority w:val="99"/>
    <w:rsid w:val="00D0309C"/>
    <w:rPr>
      <w:color w:val="0000FF"/>
      <w:u w:val="single"/>
    </w:rPr>
  </w:style>
  <w:style w:type="character" w:customStyle="1" w:styleId="normaltext1">
    <w:name w:val="normaltext1"/>
    <w:basedOn w:val="a0"/>
    <w:rsid w:val="00D0309C"/>
    <w:rPr>
      <w:rFonts w:ascii="Tahoma" w:hAnsi="Tahoma" w:cs="Tahoma" w:hint="default"/>
      <w:sz w:val="16"/>
      <w:szCs w:val="16"/>
    </w:rPr>
  </w:style>
  <w:style w:type="paragraph" w:styleId="3">
    <w:name w:val="Body Text Indent 3"/>
    <w:basedOn w:val="a"/>
    <w:rsid w:val="00D0309C"/>
    <w:pPr>
      <w:autoSpaceDE w:val="0"/>
      <w:autoSpaceDN w:val="0"/>
      <w:ind w:firstLine="540"/>
    </w:pPr>
  </w:style>
  <w:style w:type="paragraph" w:customStyle="1" w:styleId="a4">
    <w:name w:val="Знак Знак Знак Знак"/>
    <w:basedOn w:val="a"/>
    <w:rsid w:val="00D0309C"/>
    <w:pPr>
      <w:spacing w:after="160" w:line="240" w:lineRule="exact"/>
    </w:pPr>
    <w:rPr>
      <w:rFonts w:ascii="Tahoma" w:hAnsi="Tahoma" w:cs="Tahoma"/>
      <w:sz w:val="20"/>
      <w:szCs w:val="20"/>
      <w:lang w:val="en-US" w:eastAsia="en-US"/>
    </w:rPr>
  </w:style>
  <w:style w:type="paragraph" w:customStyle="1" w:styleId="ConsPlusCell">
    <w:name w:val="ConsPlusCell"/>
    <w:rsid w:val="00D33BBB"/>
    <w:pPr>
      <w:widowControl w:val="0"/>
      <w:autoSpaceDE w:val="0"/>
      <w:autoSpaceDN w:val="0"/>
      <w:adjustRightInd w:val="0"/>
    </w:pPr>
    <w:rPr>
      <w:rFonts w:ascii="Arial" w:hAnsi="Arial" w:cs="Arial"/>
    </w:rPr>
  </w:style>
  <w:style w:type="paragraph" w:styleId="a5">
    <w:name w:val="Balloon Text"/>
    <w:basedOn w:val="a"/>
    <w:semiHidden/>
    <w:rsid w:val="002363CA"/>
    <w:rPr>
      <w:rFonts w:ascii="Tahoma" w:hAnsi="Tahoma" w:cs="Tahoma"/>
      <w:sz w:val="16"/>
      <w:szCs w:val="16"/>
    </w:rPr>
  </w:style>
  <w:style w:type="paragraph" w:customStyle="1" w:styleId="10">
    <w:name w:val="Стиль Подзаголовка 1"/>
    <w:basedOn w:val="a"/>
    <w:rsid w:val="00876D92"/>
    <w:pPr>
      <w:keepNext/>
      <w:numPr>
        <w:ilvl w:val="12"/>
      </w:numPr>
      <w:spacing w:before="240"/>
      <w:jc w:val="both"/>
    </w:pPr>
    <w:rPr>
      <w:b/>
      <w:bCs/>
      <w:i/>
      <w:iCs/>
      <w:sz w:val="22"/>
      <w:szCs w:val="22"/>
    </w:rPr>
  </w:style>
  <w:style w:type="paragraph" w:customStyle="1" w:styleId="ConsNormal">
    <w:name w:val="ConsNormal"/>
    <w:rsid w:val="00475D5D"/>
    <w:pPr>
      <w:widowControl w:val="0"/>
      <w:ind w:firstLine="720"/>
    </w:pPr>
    <w:rPr>
      <w:rFonts w:ascii="Arial" w:hAnsi="Arial" w:cs="Arial"/>
      <w:sz w:val="22"/>
      <w:szCs w:val="22"/>
      <w:lang w:eastAsia="en-US"/>
    </w:rPr>
  </w:style>
  <w:style w:type="paragraph" w:customStyle="1" w:styleId="11">
    <w:name w:val="Знак Знак Знак Знак1"/>
    <w:basedOn w:val="a"/>
    <w:rsid w:val="003D738E"/>
    <w:pPr>
      <w:ind w:firstLine="709"/>
      <w:jc w:val="both"/>
    </w:pPr>
  </w:style>
  <w:style w:type="paragraph" w:customStyle="1" w:styleId="CharChar1">
    <w:name w:val="Char Char1"/>
    <w:basedOn w:val="a"/>
    <w:rsid w:val="00EB7726"/>
    <w:pPr>
      <w:spacing w:after="160" w:line="240" w:lineRule="exact"/>
    </w:pPr>
    <w:rPr>
      <w:rFonts w:ascii="Tahoma" w:hAnsi="Tahoma" w:cs="Tahoma"/>
      <w:sz w:val="20"/>
      <w:szCs w:val="20"/>
      <w:lang w:val="en-US" w:eastAsia="en-US"/>
    </w:rPr>
  </w:style>
  <w:style w:type="paragraph" w:customStyle="1" w:styleId="ConsNonformat">
    <w:name w:val="ConsNonformat"/>
    <w:rsid w:val="00EB7726"/>
    <w:pPr>
      <w:autoSpaceDE w:val="0"/>
      <w:autoSpaceDN w:val="0"/>
      <w:adjustRightInd w:val="0"/>
      <w:ind w:right="19772"/>
    </w:pPr>
    <w:rPr>
      <w:rFonts w:ascii="Courier New" w:hAnsi="Courier New" w:cs="Courier New"/>
    </w:rPr>
  </w:style>
  <w:style w:type="paragraph" w:customStyle="1" w:styleId="CharCharCharChar1">
    <w:name w:val="Char Char Знак Знак Char Char1"/>
    <w:basedOn w:val="a"/>
    <w:rsid w:val="004B2B24"/>
    <w:pPr>
      <w:spacing w:after="160" w:line="240" w:lineRule="exact"/>
    </w:pPr>
    <w:rPr>
      <w:rFonts w:ascii="Tahoma" w:hAnsi="Tahoma" w:cs="Tahoma"/>
      <w:sz w:val="20"/>
      <w:szCs w:val="20"/>
      <w:lang w:val="en-US" w:eastAsia="en-US"/>
    </w:rPr>
  </w:style>
  <w:style w:type="paragraph" w:styleId="a6">
    <w:name w:val="List Paragraph"/>
    <w:basedOn w:val="a"/>
    <w:uiPriority w:val="34"/>
    <w:qFormat/>
    <w:rsid w:val="006972AD"/>
    <w:pPr>
      <w:ind w:left="720"/>
      <w:contextualSpacing/>
    </w:pPr>
    <w:rPr>
      <w:rFonts w:ascii="Calibri" w:eastAsia="Calibri" w:hAnsi="Calibri"/>
      <w:sz w:val="22"/>
      <w:szCs w:val="22"/>
      <w:lang w:eastAsia="en-US"/>
    </w:rPr>
  </w:style>
  <w:style w:type="paragraph" w:customStyle="1" w:styleId="Default">
    <w:name w:val="Default"/>
    <w:rsid w:val="006972AD"/>
    <w:pPr>
      <w:autoSpaceDE w:val="0"/>
      <w:autoSpaceDN w:val="0"/>
      <w:adjustRightInd w:val="0"/>
    </w:pPr>
    <w:rPr>
      <w:color w:val="000000"/>
      <w:sz w:val="24"/>
      <w:szCs w:val="24"/>
    </w:rPr>
  </w:style>
  <w:style w:type="paragraph" w:styleId="30">
    <w:name w:val="Body Text 3"/>
    <w:basedOn w:val="a"/>
    <w:link w:val="31"/>
    <w:rsid w:val="009656C5"/>
    <w:pPr>
      <w:widowControl w:val="0"/>
      <w:autoSpaceDE w:val="0"/>
      <w:autoSpaceDN w:val="0"/>
      <w:adjustRightInd w:val="0"/>
      <w:spacing w:after="120" w:line="260" w:lineRule="auto"/>
      <w:ind w:left="320" w:hanging="340"/>
    </w:pPr>
    <w:rPr>
      <w:sz w:val="16"/>
      <w:szCs w:val="16"/>
    </w:rPr>
  </w:style>
  <w:style w:type="character" w:customStyle="1" w:styleId="31">
    <w:name w:val="Основной текст 3 Знак"/>
    <w:basedOn w:val="a0"/>
    <w:link w:val="30"/>
    <w:rsid w:val="009656C5"/>
    <w:rPr>
      <w:sz w:val="16"/>
      <w:szCs w:val="16"/>
    </w:rPr>
  </w:style>
  <w:style w:type="character" w:styleId="a7">
    <w:name w:val="Strong"/>
    <w:basedOn w:val="a0"/>
    <w:qFormat/>
    <w:rsid w:val="009656C5"/>
    <w:rPr>
      <w:b/>
      <w:bCs/>
    </w:rPr>
  </w:style>
  <w:style w:type="character" w:styleId="a8">
    <w:name w:val="annotation reference"/>
    <w:basedOn w:val="a0"/>
    <w:rsid w:val="00D35F5A"/>
    <w:rPr>
      <w:sz w:val="16"/>
      <w:szCs w:val="16"/>
    </w:rPr>
  </w:style>
  <w:style w:type="paragraph" w:styleId="a9">
    <w:name w:val="annotation text"/>
    <w:basedOn w:val="a"/>
    <w:link w:val="aa"/>
    <w:rsid w:val="00D35F5A"/>
    <w:rPr>
      <w:sz w:val="20"/>
      <w:szCs w:val="20"/>
    </w:rPr>
  </w:style>
  <w:style w:type="character" w:customStyle="1" w:styleId="aa">
    <w:name w:val="Текст примечания Знак"/>
    <w:basedOn w:val="a0"/>
    <w:link w:val="a9"/>
    <w:rsid w:val="00D35F5A"/>
  </w:style>
  <w:style w:type="paragraph" w:styleId="ab">
    <w:name w:val="annotation subject"/>
    <w:basedOn w:val="a9"/>
    <w:next w:val="a9"/>
    <w:link w:val="ac"/>
    <w:rsid w:val="00D35F5A"/>
    <w:rPr>
      <w:b/>
      <w:bCs/>
    </w:rPr>
  </w:style>
  <w:style w:type="character" w:customStyle="1" w:styleId="ac">
    <w:name w:val="Тема примечания Знак"/>
    <w:basedOn w:val="aa"/>
    <w:link w:val="ab"/>
    <w:rsid w:val="00D35F5A"/>
    <w:rPr>
      <w:b/>
      <w:bCs/>
    </w:rPr>
  </w:style>
  <w:style w:type="paragraph" w:customStyle="1" w:styleId="ConsPlusNormal">
    <w:name w:val="ConsPlusNormal"/>
    <w:rsid w:val="006B5A98"/>
    <w:pPr>
      <w:autoSpaceDE w:val="0"/>
      <w:autoSpaceDN w:val="0"/>
      <w:adjustRightInd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09C"/>
    <w:rPr>
      <w:sz w:val="24"/>
      <w:szCs w:val="24"/>
    </w:rPr>
  </w:style>
  <w:style w:type="paragraph" w:styleId="1">
    <w:name w:val="heading 1"/>
    <w:basedOn w:val="a"/>
    <w:next w:val="a"/>
    <w:qFormat/>
    <w:rsid w:val="00D0309C"/>
    <w:pPr>
      <w:keepNext/>
      <w:autoSpaceDE w:val="0"/>
      <w:autoSpaceDN w:val="0"/>
      <w:ind w:left="57" w:right="57"/>
      <w:jc w:val="both"/>
      <w:outlineLvl w:val="0"/>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rsid w:val="00D0309C"/>
    <w:rPr>
      <w:b/>
      <w:bCs/>
      <w:i/>
      <w:iCs/>
      <w:sz w:val="22"/>
      <w:szCs w:val="22"/>
    </w:rPr>
  </w:style>
  <w:style w:type="character" w:styleId="a3">
    <w:name w:val="Hyperlink"/>
    <w:basedOn w:val="a0"/>
    <w:uiPriority w:val="99"/>
    <w:rsid w:val="00D0309C"/>
    <w:rPr>
      <w:color w:val="0000FF"/>
      <w:u w:val="single"/>
    </w:rPr>
  </w:style>
  <w:style w:type="character" w:customStyle="1" w:styleId="normaltext1">
    <w:name w:val="normaltext1"/>
    <w:basedOn w:val="a0"/>
    <w:rsid w:val="00D0309C"/>
    <w:rPr>
      <w:rFonts w:ascii="Tahoma" w:hAnsi="Tahoma" w:cs="Tahoma" w:hint="default"/>
      <w:sz w:val="16"/>
      <w:szCs w:val="16"/>
    </w:rPr>
  </w:style>
  <w:style w:type="paragraph" w:styleId="3">
    <w:name w:val="Body Text Indent 3"/>
    <w:basedOn w:val="a"/>
    <w:rsid w:val="00D0309C"/>
    <w:pPr>
      <w:autoSpaceDE w:val="0"/>
      <w:autoSpaceDN w:val="0"/>
      <w:ind w:firstLine="540"/>
    </w:pPr>
  </w:style>
  <w:style w:type="paragraph" w:customStyle="1" w:styleId="a4">
    <w:name w:val="Знак Знак Знак Знак"/>
    <w:basedOn w:val="a"/>
    <w:rsid w:val="00D0309C"/>
    <w:pPr>
      <w:spacing w:after="160" w:line="240" w:lineRule="exact"/>
    </w:pPr>
    <w:rPr>
      <w:rFonts w:ascii="Tahoma" w:hAnsi="Tahoma" w:cs="Tahoma"/>
      <w:sz w:val="20"/>
      <w:szCs w:val="20"/>
      <w:lang w:val="en-US" w:eastAsia="en-US"/>
    </w:rPr>
  </w:style>
  <w:style w:type="paragraph" w:customStyle="1" w:styleId="ConsPlusCell">
    <w:name w:val="ConsPlusCell"/>
    <w:rsid w:val="00D33BBB"/>
    <w:pPr>
      <w:widowControl w:val="0"/>
      <w:autoSpaceDE w:val="0"/>
      <w:autoSpaceDN w:val="0"/>
      <w:adjustRightInd w:val="0"/>
    </w:pPr>
    <w:rPr>
      <w:rFonts w:ascii="Arial" w:hAnsi="Arial" w:cs="Arial"/>
    </w:rPr>
  </w:style>
  <w:style w:type="paragraph" w:styleId="a5">
    <w:name w:val="Balloon Text"/>
    <w:basedOn w:val="a"/>
    <w:semiHidden/>
    <w:rsid w:val="002363CA"/>
    <w:rPr>
      <w:rFonts w:ascii="Tahoma" w:hAnsi="Tahoma" w:cs="Tahoma"/>
      <w:sz w:val="16"/>
      <w:szCs w:val="16"/>
    </w:rPr>
  </w:style>
  <w:style w:type="paragraph" w:customStyle="1" w:styleId="10">
    <w:name w:val="Стиль Подзаголовка 1"/>
    <w:basedOn w:val="a"/>
    <w:rsid w:val="00876D92"/>
    <w:pPr>
      <w:keepNext/>
      <w:numPr>
        <w:ilvl w:val="12"/>
      </w:numPr>
      <w:spacing w:before="240"/>
      <w:jc w:val="both"/>
    </w:pPr>
    <w:rPr>
      <w:b/>
      <w:bCs/>
      <w:i/>
      <w:iCs/>
      <w:sz w:val="22"/>
      <w:szCs w:val="22"/>
    </w:rPr>
  </w:style>
  <w:style w:type="paragraph" w:customStyle="1" w:styleId="ConsNormal">
    <w:name w:val="ConsNormal"/>
    <w:rsid w:val="00475D5D"/>
    <w:pPr>
      <w:widowControl w:val="0"/>
      <w:ind w:firstLine="720"/>
    </w:pPr>
    <w:rPr>
      <w:rFonts w:ascii="Arial" w:hAnsi="Arial" w:cs="Arial"/>
      <w:sz w:val="22"/>
      <w:szCs w:val="22"/>
      <w:lang w:eastAsia="en-US"/>
    </w:rPr>
  </w:style>
  <w:style w:type="paragraph" w:customStyle="1" w:styleId="11">
    <w:name w:val="Знак Знак Знак Знак1"/>
    <w:basedOn w:val="a"/>
    <w:rsid w:val="003D738E"/>
    <w:pPr>
      <w:ind w:firstLine="709"/>
      <w:jc w:val="both"/>
    </w:pPr>
  </w:style>
  <w:style w:type="paragraph" w:customStyle="1" w:styleId="CharChar1">
    <w:name w:val="Char Char1"/>
    <w:basedOn w:val="a"/>
    <w:rsid w:val="00EB7726"/>
    <w:pPr>
      <w:spacing w:after="160" w:line="240" w:lineRule="exact"/>
    </w:pPr>
    <w:rPr>
      <w:rFonts w:ascii="Tahoma" w:hAnsi="Tahoma" w:cs="Tahoma"/>
      <w:sz w:val="20"/>
      <w:szCs w:val="20"/>
      <w:lang w:val="en-US" w:eastAsia="en-US"/>
    </w:rPr>
  </w:style>
  <w:style w:type="paragraph" w:customStyle="1" w:styleId="ConsNonformat">
    <w:name w:val="ConsNonformat"/>
    <w:rsid w:val="00EB7726"/>
    <w:pPr>
      <w:autoSpaceDE w:val="0"/>
      <w:autoSpaceDN w:val="0"/>
      <w:adjustRightInd w:val="0"/>
      <w:ind w:right="19772"/>
    </w:pPr>
    <w:rPr>
      <w:rFonts w:ascii="Courier New" w:hAnsi="Courier New" w:cs="Courier New"/>
    </w:rPr>
  </w:style>
  <w:style w:type="paragraph" w:customStyle="1" w:styleId="CharCharCharChar1">
    <w:name w:val="Char Char Знак Знак Char Char1"/>
    <w:basedOn w:val="a"/>
    <w:rsid w:val="004B2B24"/>
    <w:pPr>
      <w:spacing w:after="160" w:line="240" w:lineRule="exact"/>
    </w:pPr>
    <w:rPr>
      <w:rFonts w:ascii="Tahoma" w:hAnsi="Tahoma" w:cs="Tahoma"/>
      <w:sz w:val="20"/>
      <w:szCs w:val="20"/>
      <w:lang w:val="en-US" w:eastAsia="en-US"/>
    </w:rPr>
  </w:style>
  <w:style w:type="paragraph" w:styleId="a6">
    <w:name w:val="List Paragraph"/>
    <w:basedOn w:val="a"/>
    <w:uiPriority w:val="34"/>
    <w:qFormat/>
    <w:rsid w:val="006972AD"/>
    <w:pPr>
      <w:ind w:left="720"/>
      <w:contextualSpacing/>
    </w:pPr>
    <w:rPr>
      <w:rFonts w:ascii="Calibri" w:eastAsia="Calibri" w:hAnsi="Calibri"/>
      <w:sz w:val="22"/>
      <w:szCs w:val="22"/>
      <w:lang w:eastAsia="en-US"/>
    </w:rPr>
  </w:style>
  <w:style w:type="paragraph" w:customStyle="1" w:styleId="Default">
    <w:name w:val="Default"/>
    <w:rsid w:val="006972AD"/>
    <w:pPr>
      <w:autoSpaceDE w:val="0"/>
      <w:autoSpaceDN w:val="0"/>
      <w:adjustRightInd w:val="0"/>
    </w:pPr>
    <w:rPr>
      <w:color w:val="000000"/>
      <w:sz w:val="24"/>
      <w:szCs w:val="24"/>
    </w:rPr>
  </w:style>
  <w:style w:type="paragraph" w:styleId="30">
    <w:name w:val="Body Text 3"/>
    <w:basedOn w:val="a"/>
    <w:link w:val="31"/>
    <w:rsid w:val="009656C5"/>
    <w:pPr>
      <w:widowControl w:val="0"/>
      <w:autoSpaceDE w:val="0"/>
      <w:autoSpaceDN w:val="0"/>
      <w:adjustRightInd w:val="0"/>
      <w:spacing w:after="120" w:line="260" w:lineRule="auto"/>
      <w:ind w:left="320" w:hanging="340"/>
    </w:pPr>
    <w:rPr>
      <w:sz w:val="16"/>
      <w:szCs w:val="16"/>
    </w:rPr>
  </w:style>
  <w:style w:type="character" w:customStyle="1" w:styleId="31">
    <w:name w:val="Основной текст 3 Знак"/>
    <w:basedOn w:val="a0"/>
    <w:link w:val="30"/>
    <w:rsid w:val="009656C5"/>
    <w:rPr>
      <w:sz w:val="16"/>
      <w:szCs w:val="16"/>
    </w:rPr>
  </w:style>
  <w:style w:type="character" w:styleId="a7">
    <w:name w:val="Strong"/>
    <w:basedOn w:val="a0"/>
    <w:qFormat/>
    <w:rsid w:val="009656C5"/>
    <w:rPr>
      <w:b/>
      <w:bCs/>
    </w:rPr>
  </w:style>
  <w:style w:type="character" w:styleId="a8">
    <w:name w:val="annotation reference"/>
    <w:basedOn w:val="a0"/>
    <w:rsid w:val="00D35F5A"/>
    <w:rPr>
      <w:sz w:val="16"/>
      <w:szCs w:val="16"/>
    </w:rPr>
  </w:style>
  <w:style w:type="paragraph" w:styleId="a9">
    <w:name w:val="annotation text"/>
    <w:basedOn w:val="a"/>
    <w:link w:val="aa"/>
    <w:rsid w:val="00D35F5A"/>
    <w:rPr>
      <w:sz w:val="20"/>
      <w:szCs w:val="20"/>
    </w:rPr>
  </w:style>
  <w:style w:type="character" w:customStyle="1" w:styleId="aa">
    <w:name w:val="Текст примечания Знак"/>
    <w:basedOn w:val="a0"/>
    <w:link w:val="a9"/>
    <w:rsid w:val="00D35F5A"/>
  </w:style>
  <w:style w:type="paragraph" w:styleId="ab">
    <w:name w:val="annotation subject"/>
    <w:basedOn w:val="a9"/>
    <w:next w:val="a9"/>
    <w:link w:val="ac"/>
    <w:rsid w:val="00D35F5A"/>
    <w:rPr>
      <w:b/>
      <w:bCs/>
    </w:rPr>
  </w:style>
  <w:style w:type="character" w:customStyle="1" w:styleId="ac">
    <w:name w:val="Тема примечания Знак"/>
    <w:basedOn w:val="aa"/>
    <w:link w:val="ab"/>
    <w:rsid w:val="00D35F5A"/>
    <w:rPr>
      <w:b/>
      <w:bCs/>
    </w:rPr>
  </w:style>
  <w:style w:type="paragraph" w:customStyle="1" w:styleId="ConsPlusNormal">
    <w:name w:val="ConsPlusNormal"/>
    <w:rsid w:val="006B5A98"/>
    <w:pPr>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513">
      <w:bodyDiv w:val="1"/>
      <w:marLeft w:val="0"/>
      <w:marRight w:val="0"/>
      <w:marTop w:val="0"/>
      <w:marBottom w:val="0"/>
      <w:divBdr>
        <w:top w:val="none" w:sz="0" w:space="0" w:color="auto"/>
        <w:left w:val="none" w:sz="0" w:space="0" w:color="auto"/>
        <w:bottom w:val="none" w:sz="0" w:space="0" w:color="auto"/>
        <w:right w:val="none" w:sz="0" w:space="0" w:color="auto"/>
      </w:divBdr>
    </w:div>
    <w:div w:id="7131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2658" TargetMode="External"/><Relationship Id="rId3" Type="http://schemas.microsoft.com/office/2007/relationships/stylesWithEffects" Target="stylesWithEffects.xml"/><Relationship Id="rId7" Type="http://schemas.openxmlformats.org/officeDocument/2006/relationships/hyperlink" Target="http://o1properties-fina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265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1properties-fin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1115</Words>
  <Characters>7756</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Сообщение</vt:lpstr>
    </vt:vector>
  </TitlesOfParts>
  <Company>MBW</Company>
  <LinksUpToDate>false</LinksUpToDate>
  <CharactersWithSpaces>8854</CharactersWithSpaces>
  <SharedDoc>false</SharedDoc>
  <HLinks>
    <vt:vector size="6" baseType="variant">
      <vt:variant>
        <vt:i4>8323109</vt:i4>
      </vt:variant>
      <vt:variant>
        <vt:i4>0</vt:i4>
      </vt:variant>
      <vt:variant>
        <vt:i4>0</vt:i4>
      </vt:variant>
      <vt:variant>
        <vt:i4>5</vt:i4>
      </vt:variant>
      <vt:variant>
        <vt:lpwstr>http://www.feib.ru/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kaluga</dc:creator>
  <cp:lastModifiedBy>Турик Анна Александровна</cp:lastModifiedBy>
  <cp:revision>33</cp:revision>
  <cp:lastPrinted>2010-06-11T08:18:00Z</cp:lastPrinted>
  <dcterms:created xsi:type="dcterms:W3CDTF">2013-08-21T14:13:00Z</dcterms:created>
  <dcterms:modified xsi:type="dcterms:W3CDTF">2015-08-13T13:23:00Z</dcterms:modified>
</cp:coreProperties>
</file>