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4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4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8.xml" ContentType="application/vnd.openxmlformats-officedocument.wordprocessingml.footer+xml"/>
  <Override PartName="/word/header6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1.xml" ContentType="application/vnd.openxmlformats-officedocument.wordprocessingml.footer+xml"/>
  <Override PartName="/word/header7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AB5" w:rsidRDefault="00BE0092" w:rsidP="00BE0092">
      <w:pPr>
        <w:autoSpaceDE w:val="0"/>
        <w:autoSpaceDN w:val="0"/>
        <w:spacing w:after="0" w:line="240" w:lineRule="auto"/>
        <w:jc w:val="center"/>
        <w:rPr>
          <w:rFonts w:ascii="Times New Roman" w:eastAsia="Times New Roman" w:hAnsi="Times New Roman" w:cs="Arial"/>
          <w:b/>
          <w:bCs/>
          <w:kern w:val="32"/>
          <w:sz w:val="24"/>
          <w:szCs w:val="24"/>
          <w:lang w:val="en-US" w:eastAsia="ru-RU"/>
        </w:rPr>
      </w:pPr>
      <w:bookmarkStart w:id="0" w:name="_Toc422762828"/>
      <w:r w:rsidRPr="00BE0092">
        <w:rPr>
          <w:rFonts w:ascii="Times New Roman" w:eastAsia="Times New Roman" w:hAnsi="Times New Roman" w:cs="Arial"/>
          <w:b/>
          <w:bCs/>
          <w:kern w:val="32"/>
          <w:sz w:val="24"/>
          <w:szCs w:val="24"/>
          <w:lang w:eastAsia="ru-RU"/>
        </w:rPr>
        <w:t xml:space="preserve">Приложение № </w:t>
      </w:r>
      <w:r>
        <w:rPr>
          <w:rFonts w:ascii="Times New Roman" w:eastAsia="Times New Roman" w:hAnsi="Times New Roman" w:cs="Arial"/>
          <w:b/>
          <w:bCs/>
          <w:kern w:val="32"/>
          <w:sz w:val="24"/>
          <w:szCs w:val="24"/>
          <w:lang w:val="en-US" w:eastAsia="ru-RU"/>
        </w:rPr>
        <w:t>7</w:t>
      </w:r>
      <w:r w:rsidRPr="00BE0092">
        <w:rPr>
          <w:rFonts w:ascii="Times New Roman" w:eastAsia="Times New Roman" w:hAnsi="Times New Roman" w:cs="Arial"/>
          <w:b/>
          <w:bCs/>
          <w:kern w:val="32"/>
          <w:sz w:val="24"/>
          <w:szCs w:val="24"/>
          <w:lang w:eastAsia="ru-RU"/>
        </w:rPr>
        <w:t xml:space="preserve">. </w:t>
      </w:r>
      <w:r>
        <w:rPr>
          <w:rFonts w:ascii="Times New Roman" w:eastAsia="Times New Roman" w:hAnsi="Times New Roman" w:cs="Arial"/>
          <w:b/>
          <w:bCs/>
          <w:kern w:val="32"/>
          <w:sz w:val="24"/>
          <w:szCs w:val="24"/>
          <w:lang w:eastAsia="ru-RU"/>
        </w:rPr>
        <w:t>Нек</w:t>
      </w:r>
      <w:r w:rsidRPr="00BE0092">
        <w:rPr>
          <w:rFonts w:ascii="Times New Roman" w:eastAsia="Times New Roman" w:hAnsi="Times New Roman" w:cs="Arial"/>
          <w:b/>
          <w:bCs/>
          <w:kern w:val="32"/>
          <w:sz w:val="24"/>
          <w:szCs w:val="24"/>
          <w:lang w:eastAsia="ru-RU"/>
        </w:rPr>
        <w:t>онсолидированная финансовая отчетность Поручителя</w:t>
      </w:r>
      <w:bookmarkEnd w:id="0"/>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1672"/>
        <w:gridCol w:w="232"/>
        <w:gridCol w:w="5556"/>
      </w:tblGrid>
      <w:tr w:rsidR="0073427F" w:rsidRPr="0073427F" w:rsidTr="0073427F">
        <w:tc>
          <w:tcPr>
            <w:tcW w:w="167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3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556"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28"/>
                <w:szCs w:val="28"/>
                <w:lang w:eastAsia="ru-RU" w:bidi="ru-RU"/>
              </w:rPr>
            </w:pPr>
            <w:r w:rsidRPr="0073427F">
              <w:rPr>
                <w:rFonts w:ascii="Tahoma" w:eastAsia="Times New Roman" w:hAnsi="Tahoma" w:cs="Tahoma"/>
                <w:b/>
                <w:bCs/>
                <w:color w:val="000000"/>
                <w:sz w:val="28"/>
                <w:szCs w:val="28"/>
                <w:lang w:eastAsia="ru-RU" w:bidi="ru-RU"/>
              </w:rPr>
              <w:t>O1 PROPERTIES LIMITED</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t>ГОДОВОЙ ОТЧЕТ И ФИНАНСОВАЯ ОТЧЕТНОСТЬ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За год, закончившийся 31 декабря 2012 г.</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sectPr w:rsidR="0073427F" w:rsidRPr="0073427F" w:rsidSect="0069327D">
          <w:footerReference w:type="default" r:id="rId9"/>
          <w:pgSz w:w="11952" w:h="16848"/>
          <w:pgMar w:top="1021" w:right="1190" w:bottom="1021" w:left="1418" w:header="720" w:footer="720" w:gutter="0"/>
          <w:pgNumType w:start="593"/>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lastRenderedPageBreak/>
        <w:t>ГОДОВОЙ ОТЧЕТ И ФИНАНСОВАЯ ОТЧЕТНОСТЬ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За год, закончившийся 31 декабря 2012 г.</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7358"/>
        <w:gridCol w:w="1412"/>
      </w:tblGrid>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r w:rsidRPr="0073427F">
              <w:rPr>
                <w:rFonts w:ascii="Tahoma" w:eastAsia="Times New Roman" w:hAnsi="Tahoma" w:cs="Tahoma"/>
                <w:b/>
                <w:bCs/>
                <w:color w:val="000000"/>
                <w:sz w:val="24"/>
                <w:szCs w:val="24"/>
                <w:lang w:eastAsia="ru-RU" w:bidi="ru-RU"/>
              </w:rPr>
              <w:t>СОДЕРЖАНИЕ</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24"/>
                <w:lang w:eastAsia="ru-RU" w:bidi="ru-RU"/>
              </w:rPr>
              <w:t>Стр.</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Совет директоров и другие должностные лица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1</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Отчет Совета директоров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2 - 3</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Аудиторское заключение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4 - 5</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Отчет о совокупном доходе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6</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Отчет о финансовом положении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7</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Отчет об изменениях в капитале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8</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Отчет о движении денежных средств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9</w:t>
            </w: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7358"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 xml:space="preserve">Примечания к финансовой отчетности </w:t>
            </w:r>
          </w:p>
        </w:tc>
        <w:tc>
          <w:tcPr>
            <w:tcW w:w="1412" w:type="dxa"/>
            <w:tcBorders>
              <w:top w:val="nil"/>
              <w:left w:val="nil"/>
              <w:bottom w:val="nil"/>
              <w:right w:val="nil"/>
            </w:tcBorders>
            <w:vAlign w:val="center"/>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24"/>
                <w:lang w:eastAsia="ru-RU" w:bidi="ru-RU"/>
              </w:rPr>
              <w:t>11 - 45</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10"/>
          <w:footerReference w:type="default" r:id="rId11"/>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lastRenderedPageBreak/>
        <w:t>СОВЕТ ДИРЕКТОРОВ И ДРУГИЕ ДОЛЖНОСТНЫЕ ЛИЦА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24"/>
          <w:lang w:eastAsia="ru-RU" w:bidi="ru-RU"/>
        </w:rPr>
        <w:t>Совет директоров:</w:t>
      </w: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18"/>
          <w:lang w:eastAsia="ru-RU" w:bidi="ru-RU"/>
        </w:rPr>
        <w:t>Дмитрий Минц</w:t>
      </w:r>
      <w:r w:rsidRPr="0073427F">
        <w:rPr>
          <w:rFonts w:ascii="Tahoma" w:eastAsia="Times New Roman" w:hAnsi="Tahoma" w:cs="Tahoma"/>
          <w:color w:val="000000"/>
          <w:sz w:val="18"/>
          <w:szCs w:val="24"/>
          <w:lang w:eastAsia="ru-RU" w:bidi="ru-RU"/>
        </w:rPr>
        <w:t xml:space="preserve"> </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 xml:space="preserve">Томаш Замиара  </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 xml:space="preserve">Майкл Стэнтон </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 xml:space="preserve">Александр Островский  </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 xml:space="preserve">Тимоти Фенуик  </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Ричард Грегсон (назначен 1 июня 2012 года)</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 xml:space="preserve">Джон Накос </w:t>
      </w:r>
    </w:p>
    <w:tbl>
      <w:tblPr>
        <w:tblW w:w="0" w:type="auto"/>
        <w:tblInd w:w="42" w:type="dxa"/>
        <w:tblLayout w:type="fixed"/>
        <w:tblCellMar>
          <w:left w:w="42" w:type="dxa"/>
          <w:right w:w="42" w:type="dxa"/>
        </w:tblCellMar>
        <w:tblLook w:val="0000" w:firstRow="0" w:lastRow="0" w:firstColumn="0" w:lastColumn="0" w:noHBand="0" w:noVBand="0"/>
      </w:tblPr>
      <w:tblGrid>
        <w:gridCol w:w="9354"/>
      </w:tblGrid>
      <w:tr w:rsidR="0073427F" w:rsidRPr="0073427F" w:rsidTr="0073427F">
        <w:tc>
          <w:tcPr>
            <w:tcW w:w="9354" w:type="dxa"/>
            <w:tcBorders>
              <w:top w:val="nil"/>
              <w:left w:val="nil"/>
              <w:bottom w:val="nil"/>
              <w:right w:val="nil"/>
            </w:tcBorders>
          </w:tcPr>
          <w:p w:rsidR="0073427F" w:rsidRPr="0073427F" w:rsidRDefault="0073427F" w:rsidP="0073427F">
            <w:pPr>
              <w:widowControl w:val="0"/>
              <w:tabs>
                <w:tab w:val="left" w:pos="3923"/>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Норберт Кикум (назначен 1 июля 2011 года - покинул свой пост 1 июня 2012 года)</w:t>
            </w:r>
          </w:p>
        </w:tc>
      </w:tr>
    </w:tbl>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val="en-US" w:eastAsia="ru-RU" w:bidi="ru-RU"/>
        </w:rPr>
      </w:pPr>
      <w:r w:rsidRPr="0073427F">
        <w:rPr>
          <w:rFonts w:ascii="Tahoma" w:eastAsia="Times New Roman" w:hAnsi="Tahoma" w:cs="Tahoma"/>
          <w:b/>
          <w:color w:val="000000"/>
          <w:sz w:val="18"/>
          <w:szCs w:val="24"/>
          <w:lang w:eastAsia="ru-RU" w:bidi="ru-RU"/>
        </w:rPr>
        <w:t>Секретарь</w:t>
      </w:r>
      <w:r w:rsidRPr="0073427F">
        <w:rPr>
          <w:rFonts w:ascii="Tahoma" w:eastAsia="Times New Roman" w:hAnsi="Tahoma" w:cs="Tahoma"/>
          <w:b/>
          <w:color w:val="000000"/>
          <w:sz w:val="18"/>
          <w:szCs w:val="24"/>
          <w:lang w:val="en-US" w:eastAsia="ru-RU" w:bidi="ru-RU"/>
        </w:rPr>
        <w:t xml:space="preserve"> </w:t>
      </w:r>
      <w:r w:rsidRPr="0073427F">
        <w:rPr>
          <w:rFonts w:ascii="Tahoma" w:eastAsia="Times New Roman" w:hAnsi="Tahoma" w:cs="Tahoma"/>
          <w:b/>
          <w:color w:val="000000"/>
          <w:sz w:val="18"/>
          <w:szCs w:val="24"/>
          <w:lang w:eastAsia="ru-RU" w:bidi="ru-RU"/>
        </w:rPr>
        <w:t>Компании</w:t>
      </w:r>
      <w:r w:rsidRPr="0073427F">
        <w:rPr>
          <w:rFonts w:ascii="Tahoma" w:eastAsia="Times New Roman" w:hAnsi="Tahoma" w:cs="Tahoma"/>
          <w:b/>
          <w:color w:val="000000"/>
          <w:sz w:val="18"/>
          <w:szCs w:val="24"/>
          <w:lang w:val="en-US" w:eastAsia="ru-RU" w:bidi="ru-RU"/>
        </w:rPr>
        <w:t>:</w:t>
      </w:r>
      <w:r w:rsidRPr="0073427F">
        <w:rPr>
          <w:rFonts w:ascii="Tahoma" w:eastAsia="Times New Roman" w:hAnsi="Tahoma" w:cs="Tahoma"/>
          <w:color w:val="000000"/>
          <w:sz w:val="24"/>
          <w:szCs w:val="24"/>
          <w:lang w:val="en-US" w:eastAsia="ru-RU" w:bidi="ru-RU"/>
        </w:rPr>
        <w:tab/>
      </w:r>
      <w:r w:rsidRPr="0073427F">
        <w:rPr>
          <w:rFonts w:ascii="Tahoma" w:eastAsia="Times New Roman" w:hAnsi="Tahoma" w:cs="Tahoma"/>
          <w:color w:val="000000"/>
          <w:sz w:val="18"/>
          <w:szCs w:val="24"/>
          <w:lang w:val="en-US" w:eastAsia="ru-RU" w:bidi="ru-RU"/>
        </w:rPr>
        <w:t xml:space="preserve">Panglobe Secretarial Limited </w:t>
      </w: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val="en-US" w:eastAsia="ru-RU" w:bidi="ru-RU"/>
        </w:rPr>
      </w:pP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val="en-US" w:eastAsia="ru-RU" w:bidi="ru-RU"/>
        </w:rPr>
      </w:pP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val="en-US" w:eastAsia="ru-RU" w:bidi="ru-RU"/>
        </w:rPr>
      </w:pPr>
      <w:r w:rsidRPr="0073427F">
        <w:rPr>
          <w:rFonts w:ascii="Tahoma" w:eastAsia="Times New Roman" w:hAnsi="Tahoma" w:cs="Tahoma"/>
          <w:b/>
          <w:color w:val="000000"/>
          <w:sz w:val="18"/>
          <w:szCs w:val="24"/>
          <w:lang w:eastAsia="ru-RU" w:bidi="ru-RU"/>
        </w:rPr>
        <w:t>Независимые</w:t>
      </w:r>
      <w:r w:rsidRPr="0073427F">
        <w:rPr>
          <w:rFonts w:ascii="Tahoma" w:eastAsia="Times New Roman" w:hAnsi="Tahoma" w:cs="Tahoma"/>
          <w:b/>
          <w:color w:val="000000"/>
          <w:sz w:val="18"/>
          <w:szCs w:val="24"/>
          <w:lang w:val="en-US" w:eastAsia="ru-RU" w:bidi="ru-RU"/>
        </w:rPr>
        <w:t xml:space="preserve"> </w:t>
      </w:r>
      <w:r w:rsidRPr="0073427F">
        <w:rPr>
          <w:rFonts w:ascii="Tahoma" w:eastAsia="Times New Roman" w:hAnsi="Tahoma" w:cs="Tahoma"/>
          <w:b/>
          <w:color w:val="000000"/>
          <w:sz w:val="18"/>
          <w:szCs w:val="24"/>
          <w:lang w:eastAsia="ru-RU" w:bidi="ru-RU"/>
        </w:rPr>
        <w:t>аудиторы</w:t>
      </w:r>
      <w:r w:rsidRPr="0073427F">
        <w:rPr>
          <w:rFonts w:ascii="Tahoma" w:eastAsia="Times New Roman" w:hAnsi="Tahoma" w:cs="Tahoma"/>
          <w:b/>
          <w:color w:val="000000"/>
          <w:sz w:val="18"/>
          <w:szCs w:val="24"/>
          <w:lang w:val="en-US" w:eastAsia="ru-RU" w:bidi="ru-RU"/>
        </w:rPr>
        <w:t>:</w:t>
      </w:r>
      <w:r w:rsidRPr="0073427F">
        <w:rPr>
          <w:rFonts w:ascii="Tahoma" w:eastAsia="Times New Roman" w:hAnsi="Tahoma" w:cs="Tahoma"/>
          <w:b/>
          <w:color w:val="000000"/>
          <w:sz w:val="18"/>
          <w:szCs w:val="24"/>
          <w:lang w:val="en-US" w:eastAsia="ru-RU" w:bidi="ru-RU"/>
        </w:rPr>
        <w:tab/>
      </w:r>
      <w:r w:rsidRPr="0073427F">
        <w:rPr>
          <w:rFonts w:ascii="Tahoma" w:eastAsia="Times New Roman" w:hAnsi="Tahoma" w:cs="Tahoma"/>
          <w:color w:val="000000"/>
          <w:sz w:val="18"/>
          <w:szCs w:val="18"/>
          <w:lang w:val="en-US" w:eastAsia="ru-RU" w:bidi="ru-RU"/>
        </w:rPr>
        <w:t>PricewaterhouseCoopers Limited</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val="en-US" w:eastAsia="ru-RU" w:bidi="ru-RU"/>
        </w:rPr>
        <w:tab/>
      </w:r>
      <w:r w:rsidRPr="0073427F">
        <w:rPr>
          <w:rFonts w:ascii="Tahoma" w:eastAsia="Times New Roman" w:hAnsi="Tahoma" w:cs="Tahoma"/>
          <w:color w:val="000000"/>
          <w:sz w:val="18"/>
          <w:szCs w:val="24"/>
          <w:lang w:eastAsia="ru-RU" w:bidi="ru-RU"/>
        </w:rPr>
        <w:t>Сертифицированные бухгалтеры и зарегистрированные аудиторы</w:t>
      </w:r>
    </w:p>
    <w:p w:rsidR="0073427F" w:rsidRPr="0073427F" w:rsidRDefault="0073427F" w:rsidP="0073427F">
      <w:pPr>
        <w:widowControl w:val="0"/>
        <w:tabs>
          <w:tab w:val="left" w:pos="3685"/>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24"/>
          <w:szCs w:val="24"/>
          <w:lang w:eastAsia="ru-RU" w:bidi="ru-RU"/>
        </w:rPr>
        <w:tab/>
      </w: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tbl>
      <w:tblPr>
        <w:tblW w:w="0" w:type="auto"/>
        <w:tblLayout w:type="fixed"/>
        <w:tblCellMar>
          <w:left w:w="0" w:type="dxa"/>
          <w:right w:w="39" w:type="dxa"/>
        </w:tblCellMar>
        <w:tblLook w:val="0000" w:firstRow="0" w:lastRow="0" w:firstColumn="0" w:lastColumn="0" w:noHBand="0" w:noVBand="0"/>
      </w:tblPr>
      <w:tblGrid>
        <w:gridCol w:w="3917"/>
        <w:gridCol w:w="4524"/>
        <w:gridCol w:w="4105"/>
      </w:tblGrid>
      <w:tr w:rsidR="0073427F" w:rsidRPr="0073427F" w:rsidTr="0073427F">
        <w:tc>
          <w:tcPr>
            <w:tcW w:w="3917"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Адрес зарегистрированного офиса:</w:t>
            </w:r>
            <w:r w:rsidRPr="0073427F">
              <w:rPr>
                <w:rFonts w:ascii="Tahoma" w:eastAsia="Times New Roman" w:hAnsi="Tahoma" w:cs="Tahoma"/>
                <w:color w:val="000000"/>
                <w:sz w:val="18"/>
                <w:szCs w:val="18"/>
                <w:lang w:eastAsia="ru-RU" w:bidi="ru-RU"/>
              </w:rPr>
              <w:t xml:space="preserve">  </w:t>
            </w:r>
          </w:p>
        </w:tc>
        <w:tc>
          <w:tcPr>
            <w:tcW w:w="4524" w:type="dxa"/>
            <w:tcBorders>
              <w:top w:val="nil"/>
              <w:left w:val="nil"/>
              <w:bottom w:val="nil"/>
              <w:right w:val="nil"/>
            </w:tcBorders>
            <w:tcMar>
              <w:lef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18 Spyrou Kyprianou</w:t>
            </w:r>
          </w:p>
        </w:tc>
        <w:tc>
          <w:tcPr>
            <w:tcW w:w="4105"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3427F" w:rsidRPr="0073427F" w:rsidTr="0073427F">
        <w:tc>
          <w:tcPr>
            <w:tcW w:w="3917"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Office/flat 301</w:t>
            </w:r>
          </w:p>
        </w:tc>
        <w:tc>
          <w:tcPr>
            <w:tcW w:w="4105"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3427F" w:rsidRPr="0073427F" w:rsidTr="0073427F">
        <w:tc>
          <w:tcPr>
            <w:tcW w:w="3917"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1075 Nicosia</w:t>
            </w:r>
          </w:p>
        </w:tc>
        <w:tc>
          <w:tcPr>
            <w:tcW w:w="4105"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3427F" w:rsidRPr="0073427F" w:rsidTr="0073427F">
        <w:tc>
          <w:tcPr>
            <w:tcW w:w="3917"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Cyprus</w:t>
            </w:r>
          </w:p>
        </w:tc>
        <w:tc>
          <w:tcPr>
            <w:tcW w:w="4105" w:type="dxa"/>
            <w:tcBorders>
              <w:top w:val="nil"/>
              <w:left w:val="nil"/>
              <w:bottom w:val="nil"/>
              <w:right w:val="nil"/>
            </w:tcBorders>
            <w:tcMar>
              <w:left w:w="0" w:type="dxa"/>
            </w:tcMar>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24"/>
          <w:lang w:eastAsia="ru-RU" w:bidi="ru-RU"/>
        </w:rPr>
        <w:t>Банки:</w:t>
      </w:r>
      <w:r w:rsidRPr="0073427F">
        <w:rPr>
          <w:rFonts w:ascii="Tahoma" w:eastAsia="Times New Roman" w:hAnsi="Tahoma" w:cs="Tahoma"/>
          <w:b/>
          <w:color w:val="000000"/>
          <w:sz w:val="18"/>
          <w:szCs w:val="24"/>
          <w:lang w:eastAsia="ru-RU" w:bidi="ru-RU"/>
        </w:rPr>
        <w:tab/>
      </w:r>
      <w:r w:rsidRPr="0073427F">
        <w:rPr>
          <w:rFonts w:ascii="Tahoma" w:eastAsia="Times New Roman" w:hAnsi="Tahoma" w:cs="Tahoma"/>
          <w:color w:val="000000"/>
          <w:sz w:val="24"/>
          <w:szCs w:val="24"/>
          <w:lang w:eastAsia="ru-RU" w:bidi="ru-RU"/>
        </w:rPr>
        <w:t>Номос-Банк</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КБ «Москоммерцбанк» (ОАО)</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VTB Capital Plc</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Bank of Cyprus Plc</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ЗАО «Кредит Европа Банк»</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UBS AG</w:t>
      </w: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Russian Commercial Bank (Cyprus) Ltd</w:t>
      </w: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24"/>
          <w:lang w:eastAsia="ru-RU" w:bidi="ru-RU"/>
        </w:rPr>
        <w:t>Регистрационный номер:</w:t>
      </w:r>
      <w:r w:rsidRPr="0073427F">
        <w:rPr>
          <w:rFonts w:ascii="Tahoma" w:eastAsia="Times New Roman" w:hAnsi="Tahoma" w:cs="Tahoma"/>
          <w:color w:val="000000"/>
          <w:sz w:val="18"/>
          <w:szCs w:val="24"/>
          <w:lang w:eastAsia="ru-RU" w:bidi="ru-RU"/>
        </w:rPr>
        <w:t xml:space="preserve"> </w:t>
      </w:r>
      <w:r w:rsidRPr="0073427F">
        <w:rPr>
          <w:rFonts w:ascii="Tahoma" w:eastAsia="Times New Roman" w:hAnsi="Tahoma" w:cs="Tahoma"/>
          <w:color w:val="000000"/>
          <w:sz w:val="24"/>
          <w:szCs w:val="24"/>
          <w:lang w:eastAsia="ru-RU" w:bidi="ru-RU"/>
        </w:rPr>
        <w:tab/>
      </w:r>
      <w:r w:rsidRPr="0073427F">
        <w:rPr>
          <w:rFonts w:ascii="Tahoma" w:eastAsia="Times New Roman" w:hAnsi="Tahoma" w:cs="Tahoma"/>
          <w:color w:val="000000"/>
          <w:sz w:val="18"/>
          <w:szCs w:val="24"/>
          <w:lang w:eastAsia="ru-RU" w:bidi="ru-RU"/>
        </w:rPr>
        <w:t>272334</w:t>
      </w:r>
    </w:p>
    <w:p w:rsidR="0073427F" w:rsidRPr="0073427F" w:rsidRDefault="0073427F" w:rsidP="0073427F">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69327D">
          <w:headerReference w:type="default" r:id="rId12"/>
          <w:footerReference w:type="default" r:id="rId13"/>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Совет директоров O1 Properties Limited (или далее - «Компания») представляет свой отчет совместно с подтвержденной аудитором финансовой отчетностью Компании за год, закончившийся 31 декабря 2012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 xml:space="preserve">Изменение названия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 </w:t>
      </w:r>
      <w:proofErr w:type="gramStart"/>
      <w:r w:rsidRPr="0073427F">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3427F">
        <w:rPr>
          <w:rFonts w:ascii="Tahoma" w:eastAsia="Times New Roman" w:hAnsi="Tahoma" w:cs="Tahoma"/>
          <w:color w:val="000000"/>
          <w:sz w:val="18"/>
          <w:szCs w:val="18"/>
          <w:lang w:eastAsia="ru-RU" w:bidi="ru-RU"/>
        </w:rPr>
        <w:t xml:space="preserve"> под названием O1 Properties Limited.</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2159"/>
          <w:tab w:val="left" w:pos="2879"/>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Основная деятельность</w:t>
      </w:r>
      <w:r w:rsidRPr="0073427F">
        <w:rPr>
          <w:rFonts w:ascii="Tahoma" w:eastAsia="Times New Roman" w:hAnsi="Tahoma" w:cs="Tahoma"/>
          <w:color w:val="000000"/>
          <w:sz w:val="18"/>
          <w:szCs w:val="18"/>
          <w:lang w:eastAsia="ru-RU" w:bidi="ru-RU"/>
        </w:rPr>
        <w:t xml:space="preserve"> </w:t>
      </w: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t xml:space="preserve">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Основной деятельностью Компании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и ассоциированные предприятия, которые работают на рынке недвижимости Российской Федерации.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Обзор развития и текущего положения Компании, описание основных рисков и факторов неопределенности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Развитие Компании на данный момент, ее финансовые результаты и положение, представленные в финансовой отчетности, считаются удовлетворительными.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Основные риски и факторы неопределенности, с которыми сталкивается Компания, а также действия, направленные на управление этими рисками, представлены в Примечании 3 финансовой отчетности.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Результаты и дивиденды</w:t>
      </w:r>
      <w:r w:rsidRPr="0073427F">
        <w:rPr>
          <w:rFonts w:ascii="Tahoma" w:eastAsia="Times New Roman" w:hAnsi="Tahoma" w:cs="Tahoma"/>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Результаты деятельности Компании за год представлены на странице 6.  </w:t>
      </w:r>
      <w:proofErr w:type="gramStart"/>
      <w:r w:rsidRPr="0073427F">
        <w:rPr>
          <w:rFonts w:ascii="Tahoma" w:eastAsia="Times New Roman" w:hAnsi="Tahoma" w:cs="Tahoma"/>
          <w:color w:val="000000"/>
          <w:sz w:val="18"/>
          <w:szCs w:val="18"/>
          <w:lang w:eastAsia="ru-RU" w:bidi="ru-RU"/>
        </w:rPr>
        <w:t xml:space="preserve">Совет директоров рекомендует произвести выплату дивидендов, в соответствии с указанным ниже, оставшаяся чистая прибыль за год не подлежит распределению. </w:t>
      </w:r>
      <w:proofErr w:type="gramEnd"/>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Дивиденды</w:t>
      </w:r>
      <w:r w:rsidRPr="0073427F">
        <w:rPr>
          <w:rFonts w:ascii="Tahoma" w:eastAsia="Times New Roman" w:hAnsi="Tahoma" w:cs="Tahoma"/>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27 декабря 2012 года Совет директоров утвердил выплату дивидендов в размере 3,950,000 долларов США (2011 г.: ноль) держателям привилегированных акций.</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Акционерный капитал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29 декабря 2011 года Совет директоров предложил, а акционеры Компании единогласно утвердили решение об уменьшении счета эмиссионного дохода на 36 018 тысяч долларов США и взноса акционеров на 61 360 тысяч долларов США. Указанное уменьшение было осуществлено за счет передачи финансовых инструментов 29 декабря 2011 года. Уменьшение эмиссионного дохода должно было быть подтверждено Окружным судом Никосии. 21 марта 2012 года Окружной суд Никосии подтвердил решение об уменьшении эмиссионного дохода, и Секретарь Компании передал его в Реестр компаний 28 марта 2012 года.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 марта 2012 года Компания приняла решение о том, что ее объявленный и выпущенный акционерный капитал в размере 13 тысяч евро, разделенный на 13 000 акций стоимостью 1 евро за акцию, будет подразделен на 1 300 000 акций стоимостью 0,01 евро за акцию. В тот же день Компания приняла решение о том, что объявленный акционерный капитал может быть увеличен с 13 тысяч евро, разделенных на 1 300 000 акций стоимостью 0,01 Евро за акцию, до 2 000 тысяч евро, разделенных на 200 000 000 акций стоимостью 0,01 евро за акцию.</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2 марта 2012 года Компания выпустила 48 700 000 обыкновенных акций стоимостью 0,01 евро за акцию по номинальной стоимости и 193 544 обыкновенных акций стоимостью 0,01 евро за акцию с премией 10,4149 евро на акцию. Общая сумма вознаграждения составила 2 505 тысяч евро (3 330 тысяч долларов США).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5 декабря 2012 года Компания приняла решение о том, что объявленный акционерный капитал может быть увеличен с 2 000 000 евро, разделенных на 200 000 000 обыкновенных акций номинальной стоимостью 0,01 евро за акцию, до 2 000 000 евро и 173 долларов США, разделенных на 200 000 000 обыкновенных акций номинальной стоимостью 0,01 евро, и 17 300 подлежащих погашению привилегированных</w:t>
      </w:r>
      <w:proofErr w:type="gramEnd"/>
      <w:r w:rsidRPr="0073427F">
        <w:rPr>
          <w:rFonts w:ascii="Tahoma" w:eastAsia="Times New Roman" w:hAnsi="Tahoma" w:cs="Tahoma"/>
          <w:color w:val="000000"/>
          <w:sz w:val="18"/>
          <w:szCs w:val="18"/>
          <w:lang w:eastAsia="ru-RU" w:bidi="ru-RU"/>
        </w:rPr>
        <w:t xml:space="preserve"> акций номинальной стоимостью 0,01 доллара США за счет создания 17 300 новых подлежащих погашению привилегированных акций номинальной стоимостью 0,01 доллара США за акцию.</w:t>
      </w:r>
      <w:r w:rsidRPr="0073427F">
        <w:rPr>
          <w:rFonts w:ascii="Tahoma" w:eastAsia="Times New Roman" w:hAnsi="Tahoma" w:cs="Tahoma"/>
          <w:color w:val="000000"/>
          <w:sz w:val="18"/>
          <w:szCs w:val="18"/>
          <w:lang w:eastAsia="ru-RU" w:bidi="ru-RU"/>
        </w:rPr>
        <w:br w:type="page"/>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6 декабря 2012 года Компания выпустила 16 790 привилегированных акций, подлежащих погашению, стоимостью 0,01 доллара США за акцию с премией 9 999,99 доллара США на акцию. Общая сумма вознаграждения составила 167 900 тысяч долларов США.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Более подробная информация представлена в Примечаниях 22 и 30.</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Совет директоров</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Члены Совета директоров Компании на 31 декабря 2012 года и на дату данного отчета перечислены на странице 1. 1 августа 2011 года Джон Накос был назначен еще одним директором Компании. 1 июня 2012 года Норберт Кикум покинул пост директора Компании, на его место был назначен Ричард Грегсон.</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w:t>
      </w:r>
      <w:proofErr w:type="gramStart"/>
      <w:r w:rsidRPr="0073427F">
        <w:rPr>
          <w:rFonts w:ascii="Tahoma" w:eastAsia="Times New Roman" w:hAnsi="Tahoma" w:cs="Tahoma"/>
          <w:color w:val="000000"/>
          <w:sz w:val="18"/>
          <w:szCs w:val="18"/>
          <w:lang w:eastAsia="ru-RU" w:bidi="ru-RU"/>
        </w:rPr>
        <w:t>соответствии</w:t>
      </w:r>
      <w:proofErr w:type="gramEnd"/>
      <w:r w:rsidRPr="0073427F">
        <w:rPr>
          <w:rFonts w:ascii="Tahoma" w:eastAsia="Times New Roman" w:hAnsi="Tahoma" w:cs="Tahoma"/>
          <w:color w:val="000000"/>
          <w:sz w:val="18"/>
          <w:szCs w:val="18"/>
          <w:lang w:eastAsia="ru-RU" w:bidi="ru-RU"/>
        </w:rPr>
        <w:t xml:space="preserve"> с Уставом Компании все директора, являющиеся членами Совета директоров, продолжают выполнять свои обязанности.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Существенных изменений в распределении обязанностей и вознаграждении членов Совета директоров не произошло.</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Существенные события после окончания отчетного периода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Все существенные события, произошедшие после окончания отчетного периода, представлены в Примечании 30 финансовой отчетности.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Филиалы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 течение года, закончившегося 31 декабря 2012 года, Компания не имела филиалов.</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Независимые аудиторы</w:t>
      </w:r>
      <w:r w:rsidRPr="0073427F">
        <w:rPr>
          <w:rFonts w:ascii="Tahoma" w:eastAsia="Times New Roman" w:hAnsi="Tahoma" w:cs="Tahoma"/>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Независимые аудиторы, PricewaterhouseCoopers Limited, выразили желание продолжить выполнять обязанности аудитора. Решение, предоставляющее право Совету директоров назначить им вознаграждение, будет предложено на общем годовом собрании акционеров.</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 поручению Совета директоров,</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Panglobe Secretarial Limited</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Секретарь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17 декабря 2013 г. </w:t>
      </w:r>
    </w:p>
    <w:p w:rsidR="0073427F" w:rsidRPr="0069327D"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EC5623" w:rsidRPr="0069327D" w:rsidRDefault="00EC5623"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EC5623" w:rsidRPr="0069327D" w:rsidRDefault="00EC5623"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EC5623" w:rsidRPr="0069327D" w:rsidSect="00CB150F">
          <w:headerReference w:type="default" r:id="rId14"/>
          <w:footerReference w:type="default" r:id="rId15"/>
          <w:pgSz w:w="11952" w:h="16848"/>
          <w:pgMar w:top="1021" w:right="895" w:bottom="1021" w:left="1418" w:header="720" w:footer="720" w:gutter="0"/>
          <w:cols w:space="720"/>
          <w:noEndnote/>
        </w:sectPr>
      </w:pPr>
    </w:p>
    <w:p w:rsidR="00EC5623" w:rsidRPr="0069327D" w:rsidRDefault="00EC5623"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EC5623" w:rsidRPr="0069327D" w:rsidSect="00EC5623">
          <w:type w:val="continuous"/>
          <w:pgSz w:w="11952" w:h="16848"/>
          <w:pgMar w:top="1021" w:right="895"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EC5623" w:rsidRPr="00EC5623" w:rsidRDefault="00EC5623" w:rsidP="00EC5623">
      <w:pPr>
        <w:spacing w:after="0" w:line="240" w:lineRule="atLeast"/>
        <w:jc w:val="both"/>
        <w:rPr>
          <w:rFonts w:ascii="Tahoma" w:eastAsia="Times New Roman" w:hAnsi="Tahoma" w:cs="Tahoma"/>
          <w:b/>
          <w:bCs/>
          <w:color w:val="000000"/>
          <w:sz w:val="32"/>
          <w:szCs w:val="32"/>
          <w:lang w:eastAsia="ru-RU" w:bidi="ru-RU"/>
        </w:rPr>
      </w:pPr>
      <w:r w:rsidRPr="00EC5623">
        <w:rPr>
          <w:rFonts w:ascii="Tahoma" w:eastAsia="Times New Roman" w:hAnsi="Tahoma" w:cs="Tahoma"/>
          <w:b/>
          <w:color w:val="000000"/>
          <w:sz w:val="32"/>
          <w:szCs w:val="20"/>
          <w:lang w:eastAsia="ru-RU" w:bidi="ru-RU"/>
        </w:rPr>
        <w:t>Аудиторское заключение</w:t>
      </w:r>
    </w:p>
    <w:p w:rsidR="00EC5623" w:rsidRPr="00EC5623" w:rsidRDefault="00EC5623" w:rsidP="00EC5623">
      <w:pPr>
        <w:spacing w:after="0" w:line="240" w:lineRule="atLeast"/>
        <w:jc w:val="both"/>
        <w:rPr>
          <w:rFonts w:ascii="Tahoma" w:eastAsia="Times New Roman" w:hAnsi="Tahoma" w:cs="Tahoma"/>
          <w:bCs/>
          <w:color w:val="000000"/>
          <w:sz w:val="32"/>
          <w:szCs w:val="32"/>
          <w:lang w:eastAsia="ru-RU" w:bidi="ru-RU"/>
        </w:rPr>
      </w:pPr>
      <w:r w:rsidRPr="00EC5623">
        <w:rPr>
          <w:rFonts w:ascii="Tahoma" w:eastAsia="Times New Roman" w:hAnsi="Tahoma" w:cs="Tahoma"/>
          <w:color w:val="000000"/>
          <w:sz w:val="32"/>
          <w:szCs w:val="20"/>
          <w:lang w:eastAsia="ru-RU" w:bidi="ru-RU"/>
        </w:rPr>
        <w:t>Участникам O1 Properties Limited</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b/>
          <w:bCs/>
          <w:sz w:val="24"/>
          <w:szCs w:val="24"/>
          <w:lang w:eastAsia="ru-RU" w:bidi="ru-RU"/>
        </w:rPr>
      </w:pPr>
      <w:r w:rsidRPr="00EC5623">
        <w:rPr>
          <w:rFonts w:ascii="Tahoma" w:eastAsia="Times New Roman" w:hAnsi="Tahoma" w:cs="Tahoma"/>
          <w:b/>
          <w:sz w:val="24"/>
          <w:szCs w:val="20"/>
          <w:lang w:eastAsia="ru-RU" w:bidi="ru-RU"/>
        </w:rPr>
        <w:t>Заключение в отношении финансовой отчетности</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proofErr w:type="gramStart"/>
      <w:r w:rsidRPr="00EC5623">
        <w:rPr>
          <w:rFonts w:ascii="Tahoma" w:eastAsia="Times New Roman" w:hAnsi="Tahoma" w:cs="Tahoma"/>
          <w:sz w:val="20"/>
          <w:szCs w:val="20"/>
          <w:lang w:eastAsia="ru-RU" w:bidi="ru-RU"/>
        </w:rPr>
        <w:t>Мы провели аудит прилагаемой финансовой отчетности O1 Properties Limited (далее – «Компания»), которая включает отчет о финансовом положении по состоянию на 31 декабря 2012 года и отчеты о совокупном доходе, об изменениях в капитале и о движении денежных средств за год, закончившийся на указанную дату, а также основные положения учетной политики и прочую пояснительную информацию.</w:t>
      </w:r>
      <w:proofErr w:type="gramEnd"/>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i/>
          <w:iCs/>
          <w:sz w:val="20"/>
          <w:szCs w:val="20"/>
          <w:lang w:eastAsia="ru-RU" w:bidi="ru-RU"/>
        </w:rPr>
      </w:pPr>
      <w:r w:rsidRPr="00EC5623">
        <w:rPr>
          <w:rFonts w:ascii="Tahoma" w:eastAsia="Times New Roman" w:hAnsi="Tahoma" w:cs="Tahoma"/>
          <w:i/>
          <w:sz w:val="20"/>
          <w:szCs w:val="20"/>
          <w:lang w:eastAsia="ru-RU" w:bidi="ru-RU"/>
        </w:rPr>
        <w:t>Ответственность Совета директоров за составление финансовой отчетности</w:t>
      </w:r>
    </w:p>
    <w:p w:rsidR="00EC5623" w:rsidRPr="00EC5623" w:rsidRDefault="00EC5623" w:rsidP="00EC5623">
      <w:pPr>
        <w:spacing w:after="0" w:line="240" w:lineRule="atLeast"/>
        <w:jc w:val="both"/>
        <w:rPr>
          <w:rFonts w:ascii="Tahoma" w:eastAsia="Times New Roman" w:hAnsi="Tahoma" w:cs="Tahoma"/>
          <w:i/>
          <w:iCs/>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proofErr w:type="gramStart"/>
      <w:r w:rsidRPr="00EC5623">
        <w:rPr>
          <w:rFonts w:ascii="Tahoma" w:eastAsia="Times New Roman" w:hAnsi="Tahoma" w:cs="Tahoma"/>
          <w:sz w:val="20"/>
          <w:szCs w:val="20"/>
          <w:lang w:eastAsia="ru-RU" w:bidi="ru-RU"/>
        </w:rPr>
        <w:t>Совет директоров несет ответственность за составление и достоверное и точное представление данной финансовой отчетности в соответствии с Международными стандартами финансовой отчетности, принятыми Европейским союзом (ЕС), а также в соответствии с Законом о компаниях Кипра, Раздел 113, а также за систему внутреннего контроля, которую Совет директоров считает необходимой для составления финансовой отчетности, не содержащей существенных искажений в результате недобросовестных действий или</w:t>
      </w:r>
      <w:proofErr w:type="gramEnd"/>
      <w:r w:rsidRPr="00EC5623">
        <w:rPr>
          <w:rFonts w:ascii="Tahoma" w:eastAsia="Times New Roman" w:hAnsi="Tahoma" w:cs="Tahoma"/>
          <w:sz w:val="20"/>
          <w:szCs w:val="20"/>
          <w:lang w:eastAsia="ru-RU" w:bidi="ru-RU"/>
        </w:rPr>
        <w:t xml:space="preserve"> ошибок.</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i/>
          <w:iCs/>
          <w:sz w:val="20"/>
          <w:szCs w:val="20"/>
          <w:lang w:eastAsia="ru-RU" w:bidi="ru-RU"/>
        </w:rPr>
      </w:pPr>
      <w:r w:rsidRPr="00EC5623">
        <w:rPr>
          <w:rFonts w:ascii="Tahoma" w:eastAsia="Times New Roman" w:hAnsi="Tahoma" w:cs="Tahoma"/>
          <w:i/>
          <w:sz w:val="20"/>
          <w:szCs w:val="20"/>
          <w:lang w:eastAsia="ru-RU" w:bidi="ru-RU"/>
        </w:rPr>
        <w:t>Ответственность аудитора</w:t>
      </w:r>
    </w:p>
    <w:p w:rsidR="00EC5623" w:rsidRPr="00EC5623" w:rsidRDefault="00EC5623" w:rsidP="00EC5623">
      <w:pPr>
        <w:spacing w:after="0" w:line="240" w:lineRule="atLeast"/>
        <w:jc w:val="both"/>
        <w:rPr>
          <w:rFonts w:ascii="Tahoma" w:eastAsia="Times New Roman" w:hAnsi="Tahoma" w:cs="Tahoma"/>
          <w:i/>
          <w:iCs/>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Наша ответственность заключается в выражении мнения о достоверности данной финансовой отчетности на основе проведенного нами аудита. Мы провели аудит в соответствии с Международными стандартами аудита.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финансовая отчетность не содержит существенных искажений.</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 xml:space="preserve">Аудит включает проведение процедур, направленных на получение аудиторских доказательств, подтверждающих числовые показатели в финансовой отчетности и раскрытие в ней информации. Выбор процедур зависит от профессионального суждения аудитора, включая оценку рисков существенного искажения финансовой отчетности вследствие недобросовестных действий или ошибок. </w:t>
      </w:r>
      <w:proofErr w:type="gramStart"/>
      <w:r w:rsidRPr="00EC5623">
        <w:rPr>
          <w:rFonts w:ascii="Tahoma" w:eastAsia="Times New Roman" w:hAnsi="Tahoma" w:cs="Tahoma"/>
          <w:sz w:val="20"/>
          <w:szCs w:val="20"/>
          <w:lang w:eastAsia="ru-RU" w:bidi="ru-RU"/>
        </w:rPr>
        <w:t>В процессе оценки вышеупомянутых рисков аудитор рассматривает систему внутреннего контроля, связанную с составлением и достоверным представлением финансовой отчетности компании с тем, чтобы разработать аудиторские процедуры, необходимые в данных обстоятельствах, но не с целью выражения мнения об эффективности системы внутреннего контроля компании.</w:t>
      </w:r>
      <w:proofErr w:type="gramEnd"/>
      <w:r w:rsidRPr="00EC5623">
        <w:rPr>
          <w:rFonts w:ascii="Tahoma" w:eastAsia="Times New Roman" w:hAnsi="Tahoma" w:cs="Tahoma"/>
          <w:sz w:val="20"/>
          <w:szCs w:val="20"/>
          <w:lang w:eastAsia="ru-RU" w:bidi="ru-RU"/>
        </w:rPr>
        <w:t xml:space="preserve"> Аудит также включает оценку надлежащего характера применяемой учетной политики и обоснованности бухгалтерских оценок, сделанных Советом директоров, а также оценку представления финансовой отчетности в целом.</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lang w:eastAsia="ru-RU" w:bidi="ru-RU"/>
        </w:rPr>
      </w:pPr>
      <w:r w:rsidRPr="00EC5623">
        <w:rPr>
          <w:rFonts w:ascii="Tahoma" w:eastAsia="Times New Roman" w:hAnsi="Tahoma" w:cs="Tahoma"/>
          <w:sz w:val="20"/>
          <w:szCs w:val="20"/>
          <w:lang w:eastAsia="ru-RU" w:bidi="ru-RU"/>
        </w:rPr>
        <w:t>Мы полагаем, что полученные нами аудиторские доказательства являются достаточными и надлежащими для выражения нашего о достоверности данной отчетности.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16"/>
          <w:footerReference w:type="default" r:id="rId17"/>
          <w:pgSz w:w="11952" w:h="16848"/>
          <w:pgMar w:top="1021" w:right="1190" w:bottom="1021" w:left="1418" w:header="720" w:footer="720" w:gutter="0"/>
          <w:cols w:space="720"/>
          <w:noEndnote/>
        </w:sectPr>
      </w:pP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EC5623" w:rsidRPr="00EC5623" w:rsidRDefault="00EC5623" w:rsidP="00EC5623">
      <w:pPr>
        <w:spacing w:after="0" w:line="240" w:lineRule="atLeast"/>
        <w:jc w:val="both"/>
        <w:rPr>
          <w:rFonts w:ascii="Tahoma" w:eastAsia="Times New Roman" w:hAnsi="Tahoma" w:cs="Tahoma"/>
          <w:i/>
          <w:iCs/>
          <w:sz w:val="20"/>
          <w:szCs w:val="20"/>
          <w:lang w:eastAsia="ru-RU" w:bidi="ru-RU"/>
        </w:rPr>
      </w:pPr>
      <w:r w:rsidRPr="00EC5623">
        <w:rPr>
          <w:rFonts w:ascii="Tahoma" w:eastAsia="Times New Roman" w:hAnsi="Tahoma" w:cs="Tahoma"/>
          <w:i/>
          <w:sz w:val="20"/>
          <w:szCs w:val="20"/>
          <w:lang w:eastAsia="ru-RU" w:bidi="ru-RU"/>
        </w:rPr>
        <w:t>Мнение</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proofErr w:type="gramStart"/>
      <w:r w:rsidRPr="00EC5623">
        <w:rPr>
          <w:rFonts w:ascii="Tahoma" w:eastAsia="Times New Roman" w:hAnsi="Tahoma" w:cs="Tahoma"/>
          <w:sz w:val="20"/>
          <w:szCs w:val="20"/>
          <w:lang w:eastAsia="ru-RU" w:bidi="ru-RU"/>
        </w:rPr>
        <w:t xml:space="preserve">По нашему мнению, настоящая финансовая отчетность достоверно отражает финансовое положение O1 Properties Limited по состоянию на 31 декабря 2012 года, а также ее финансовые результаты и движение денежных средств за год, закончившийся на указанную дату, в соответствии с Международными стандартами финансовой отчетности, принятыми Европейским Союзом, а также в соответствии с Законом о компаниях Кипра, Раздел 113. </w:t>
      </w:r>
      <w:proofErr w:type="gramEnd"/>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b/>
          <w:bCs/>
          <w:sz w:val="24"/>
          <w:szCs w:val="24"/>
          <w:lang w:eastAsia="ru-RU" w:bidi="ru-RU"/>
        </w:rPr>
      </w:pPr>
      <w:r w:rsidRPr="00EC5623">
        <w:rPr>
          <w:rFonts w:ascii="Tahoma" w:eastAsia="Times New Roman" w:hAnsi="Tahoma" w:cs="Tahoma"/>
          <w:b/>
          <w:sz w:val="24"/>
          <w:szCs w:val="20"/>
          <w:lang w:eastAsia="ru-RU" w:bidi="ru-RU"/>
        </w:rPr>
        <w:t>Отчет о соблюдении прочих требований законодательства</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 xml:space="preserve">В </w:t>
      </w:r>
      <w:proofErr w:type="gramStart"/>
      <w:r w:rsidRPr="00EC5623">
        <w:rPr>
          <w:rFonts w:ascii="Tahoma" w:eastAsia="Times New Roman" w:hAnsi="Tahoma" w:cs="Tahoma"/>
          <w:sz w:val="20"/>
          <w:szCs w:val="20"/>
          <w:lang w:eastAsia="ru-RU" w:bidi="ru-RU"/>
        </w:rPr>
        <w:t>соответствии</w:t>
      </w:r>
      <w:proofErr w:type="gramEnd"/>
      <w:r w:rsidRPr="00EC5623">
        <w:rPr>
          <w:rFonts w:ascii="Tahoma" w:eastAsia="Times New Roman" w:hAnsi="Tahoma" w:cs="Tahoma"/>
          <w:sz w:val="20"/>
          <w:szCs w:val="20"/>
          <w:lang w:eastAsia="ru-RU" w:bidi="ru-RU"/>
        </w:rPr>
        <w:t xml:space="preserve"> с требованиями Законов об аудиторах и аудите годовой и консолидированной отчетности 2009 г. мы сообщаем следующее:</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widowControl w:val="0"/>
        <w:numPr>
          <w:ilvl w:val="0"/>
          <w:numId w:val="10"/>
        </w:numPr>
        <w:autoSpaceDE w:val="0"/>
        <w:autoSpaceDN w:val="0"/>
        <w:adjustRightInd w:val="0"/>
        <w:spacing w:after="0" w:line="240" w:lineRule="atLeast"/>
        <w:ind w:hanging="720"/>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Мы получили всю информацию и разъяснения, которые считали необходимыми для целей проведения аудита.</w:t>
      </w:r>
    </w:p>
    <w:p w:rsidR="00EC5623" w:rsidRPr="00EC5623" w:rsidRDefault="00EC5623" w:rsidP="00EC5623">
      <w:pPr>
        <w:spacing w:after="0" w:line="240" w:lineRule="atLeast"/>
        <w:ind w:left="720" w:hanging="720"/>
        <w:jc w:val="both"/>
        <w:rPr>
          <w:rFonts w:ascii="Tahoma" w:eastAsia="Times New Roman" w:hAnsi="Tahoma" w:cs="Tahoma"/>
          <w:sz w:val="20"/>
          <w:szCs w:val="20"/>
          <w:lang w:eastAsia="ru-RU" w:bidi="ru-RU"/>
        </w:rPr>
      </w:pPr>
    </w:p>
    <w:p w:rsidR="00EC5623" w:rsidRPr="00EC5623" w:rsidRDefault="00EC5623" w:rsidP="00EC5623">
      <w:pPr>
        <w:widowControl w:val="0"/>
        <w:numPr>
          <w:ilvl w:val="0"/>
          <w:numId w:val="10"/>
        </w:numPr>
        <w:autoSpaceDE w:val="0"/>
        <w:autoSpaceDN w:val="0"/>
        <w:adjustRightInd w:val="0"/>
        <w:spacing w:after="0" w:line="240" w:lineRule="atLeast"/>
        <w:ind w:hanging="720"/>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По нашему мнению, Компания ведет бухгалтерский учет надлежащим образом.</w:t>
      </w:r>
    </w:p>
    <w:p w:rsidR="00EC5623" w:rsidRPr="00EC5623" w:rsidRDefault="00EC5623" w:rsidP="00EC5623">
      <w:pPr>
        <w:spacing w:after="0" w:line="290" w:lineRule="atLeast"/>
        <w:ind w:left="720" w:hanging="720"/>
        <w:jc w:val="both"/>
        <w:rPr>
          <w:rFonts w:ascii="Tahoma" w:eastAsia="Times New Roman" w:hAnsi="Tahoma" w:cs="Tahoma"/>
          <w:sz w:val="20"/>
          <w:szCs w:val="20"/>
          <w:lang w:eastAsia="ru-RU" w:bidi="ru-RU"/>
        </w:rPr>
      </w:pPr>
    </w:p>
    <w:p w:rsidR="00EC5623" w:rsidRPr="00EC5623" w:rsidRDefault="00EC5623" w:rsidP="00EC5623">
      <w:pPr>
        <w:widowControl w:val="0"/>
        <w:numPr>
          <w:ilvl w:val="0"/>
          <w:numId w:val="10"/>
        </w:numPr>
        <w:autoSpaceDE w:val="0"/>
        <w:autoSpaceDN w:val="0"/>
        <w:adjustRightInd w:val="0"/>
        <w:spacing w:after="0" w:line="240" w:lineRule="atLeast"/>
        <w:ind w:hanging="720"/>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Финансовая отчетность Компании соответствует данным бухгалтерского учета.</w:t>
      </w:r>
    </w:p>
    <w:p w:rsidR="00EC5623" w:rsidRPr="00EC5623" w:rsidRDefault="00EC5623" w:rsidP="00EC5623">
      <w:pPr>
        <w:spacing w:after="0" w:line="290" w:lineRule="atLeast"/>
        <w:ind w:left="720" w:hanging="720"/>
        <w:jc w:val="both"/>
        <w:rPr>
          <w:rFonts w:ascii="Tahoma" w:eastAsia="Times New Roman" w:hAnsi="Tahoma" w:cs="Tahoma"/>
          <w:sz w:val="20"/>
          <w:szCs w:val="20"/>
          <w:lang w:eastAsia="ru-RU" w:bidi="ru-RU"/>
        </w:rPr>
      </w:pPr>
    </w:p>
    <w:p w:rsidR="00EC5623" w:rsidRPr="00EC5623" w:rsidRDefault="00EC5623" w:rsidP="00EC5623">
      <w:pPr>
        <w:widowControl w:val="0"/>
        <w:numPr>
          <w:ilvl w:val="0"/>
          <w:numId w:val="10"/>
        </w:numPr>
        <w:autoSpaceDE w:val="0"/>
        <w:autoSpaceDN w:val="0"/>
        <w:adjustRightInd w:val="0"/>
        <w:spacing w:after="0" w:line="240" w:lineRule="atLeast"/>
        <w:ind w:hanging="720"/>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По нашему мнению, и в соответствии с имеющейся у нас информацией и полученными разъяснениями, настоящая финансовая отчетность содержит информацию, представление которой необходимо в соответствии с Законом о компаниях Кипра, Раздел 113, подготовленную в соответствии с требованиями этого Закона.</w:t>
      </w:r>
    </w:p>
    <w:p w:rsidR="00EC5623" w:rsidRPr="00EC5623" w:rsidRDefault="00EC5623" w:rsidP="00EC5623">
      <w:pPr>
        <w:spacing w:after="0" w:line="290" w:lineRule="atLeast"/>
        <w:ind w:left="720" w:hanging="720"/>
        <w:jc w:val="both"/>
        <w:rPr>
          <w:rFonts w:ascii="Tahoma" w:eastAsia="Times New Roman" w:hAnsi="Tahoma" w:cs="Tahoma"/>
          <w:sz w:val="20"/>
          <w:szCs w:val="20"/>
          <w:lang w:eastAsia="ru-RU" w:bidi="ru-RU"/>
        </w:rPr>
      </w:pPr>
    </w:p>
    <w:p w:rsidR="00EC5623" w:rsidRPr="00EC5623" w:rsidRDefault="00EC5623" w:rsidP="00EC5623">
      <w:pPr>
        <w:widowControl w:val="0"/>
        <w:numPr>
          <w:ilvl w:val="0"/>
          <w:numId w:val="10"/>
        </w:numPr>
        <w:autoSpaceDE w:val="0"/>
        <w:autoSpaceDN w:val="0"/>
        <w:adjustRightInd w:val="0"/>
        <w:spacing w:after="0" w:line="240" w:lineRule="atLeast"/>
        <w:ind w:hanging="720"/>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По нашему мнению, информация, представленная в Отчете Совета директоров, соответствует финансовой отчетности.</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p w:rsidR="00EC5623" w:rsidRPr="00EC5623" w:rsidRDefault="00EC5623" w:rsidP="00EC5623">
      <w:pPr>
        <w:spacing w:after="0" w:line="240" w:lineRule="atLeast"/>
        <w:jc w:val="both"/>
        <w:rPr>
          <w:rFonts w:ascii="Tahoma" w:eastAsia="Times New Roman" w:hAnsi="Tahoma" w:cs="Tahoma"/>
          <w:b/>
          <w:bCs/>
          <w:sz w:val="24"/>
          <w:szCs w:val="24"/>
          <w:lang w:eastAsia="ru-RU" w:bidi="ru-RU"/>
        </w:rPr>
      </w:pPr>
      <w:r w:rsidRPr="00EC5623">
        <w:rPr>
          <w:rFonts w:ascii="Tahoma" w:eastAsia="Times New Roman" w:hAnsi="Tahoma" w:cs="Tahoma"/>
          <w:b/>
          <w:sz w:val="24"/>
          <w:szCs w:val="20"/>
          <w:lang w:eastAsia="ru-RU" w:bidi="ru-RU"/>
        </w:rPr>
        <w:t>Прочие вопросы</w:t>
      </w:r>
    </w:p>
    <w:p w:rsidR="00EC5623" w:rsidRPr="00EC5623" w:rsidRDefault="00EC5623" w:rsidP="00EC5623">
      <w:pPr>
        <w:spacing w:after="0" w:line="240" w:lineRule="atLeast"/>
        <w:jc w:val="both"/>
        <w:rPr>
          <w:rFonts w:ascii="Tahoma" w:eastAsia="Times New Roman" w:hAnsi="Tahoma" w:cs="Tahoma"/>
          <w:b/>
          <w:bCs/>
          <w:sz w:val="20"/>
          <w:szCs w:val="20"/>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sz w:val="20"/>
          <w:szCs w:val="18"/>
          <w:lang w:eastAsia="ru-RU" w:bidi="ru-RU"/>
        </w:rPr>
      </w:pPr>
      <w:r w:rsidRPr="00EC5623">
        <w:rPr>
          <w:rFonts w:ascii="Tahoma" w:eastAsia="Times New Roman" w:hAnsi="Tahoma" w:cs="Tahoma"/>
          <w:sz w:val="20"/>
          <w:szCs w:val="18"/>
          <w:lang w:eastAsia="ru-RU" w:bidi="ru-RU"/>
        </w:rPr>
        <w:t>Данное заключение, включая мнение аудитора, было подготовлено только для участников Компании в целом в соответствии с требованиями Раздела 34 Закона об аудиторах и аудите годовой и консолидированной отчетности 2009 г. и не может быть использовано в каких-либо иных целях.  Выражая наше мнение, мы не принимаем на себя никакой ответственности и никаких обязательств в каких-либо иных целях или перед другими лицами, которые могут ознакомиться с данным заключением.</w:t>
      </w:r>
    </w:p>
    <w:p w:rsidR="00EC5623" w:rsidRPr="0069327D" w:rsidRDefault="00EC5623" w:rsidP="00EC5623">
      <w:pPr>
        <w:widowControl w:val="0"/>
        <w:autoSpaceDE w:val="0"/>
        <w:autoSpaceDN w:val="0"/>
        <w:adjustRightInd w:val="0"/>
        <w:spacing w:after="0" w:line="240" w:lineRule="atLeast"/>
        <w:jc w:val="both"/>
        <w:rPr>
          <w:rFonts w:ascii="Tahoma" w:eastAsia="Times New Roman" w:hAnsi="Tahoma" w:cs="Tahoma"/>
          <w:sz w:val="20"/>
          <w:szCs w:val="18"/>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r w:rsidRPr="00EC5623">
        <w:rPr>
          <w:rFonts w:ascii="Tahoma" w:eastAsia="Times New Roman" w:hAnsi="Tahoma" w:cs="Tahoma"/>
          <w:sz w:val="20"/>
          <w:szCs w:val="18"/>
          <w:lang w:eastAsia="ru-RU" w:bidi="ru-RU"/>
        </w:rPr>
        <w:t>Мы выпустили отдельное заключение в отношении консолидированной финансовой отчетности Компан</w:t>
      </w:r>
      <w:proofErr w:type="gramStart"/>
      <w:r w:rsidRPr="00EC5623">
        <w:rPr>
          <w:rFonts w:ascii="Tahoma" w:eastAsia="Times New Roman" w:hAnsi="Tahoma" w:cs="Tahoma"/>
          <w:sz w:val="20"/>
          <w:szCs w:val="18"/>
          <w:lang w:eastAsia="ru-RU" w:bidi="ru-RU"/>
        </w:rPr>
        <w:t>ии и ее</w:t>
      </w:r>
      <w:proofErr w:type="gramEnd"/>
      <w:r w:rsidRPr="00EC5623">
        <w:rPr>
          <w:rFonts w:ascii="Tahoma" w:eastAsia="Times New Roman" w:hAnsi="Tahoma" w:cs="Tahoma"/>
          <w:sz w:val="20"/>
          <w:szCs w:val="18"/>
          <w:lang w:eastAsia="ru-RU" w:bidi="ru-RU"/>
        </w:rPr>
        <w:t xml:space="preserve"> дочерних предприятий за год, закончившийся 31 декабря 2012 года.</w:t>
      </w: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r w:rsidRPr="00EC5623">
        <w:rPr>
          <w:rFonts w:ascii="Tahoma" w:eastAsia="Times New Roman" w:hAnsi="Tahoma" w:cs="Tahoma"/>
          <w:color w:val="000000"/>
          <w:sz w:val="20"/>
          <w:szCs w:val="18"/>
          <w:lang w:eastAsia="ru-RU" w:bidi="ru-RU"/>
        </w:rPr>
        <w:t>Георг К. Казамиас</w:t>
      </w: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r w:rsidRPr="00EC5623">
        <w:rPr>
          <w:rFonts w:ascii="Tahoma" w:eastAsia="Times New Roman" w:hAnsi="Tahoma" w:cs="Tahoma"/>
          <w:color w:val="000000"/>
          <w:sz w:val="20"/>
          <w:szCs w:val="18"/>
          <w:lang w:eastAsia="ru-RU" w:bidi="ru-RU"/>
        </w:rPr>
        <w:t>Сертифицированный бухгалтер и зарегистрированный аудитор</w:t>
      </w: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r w:rsidRPr="00EC5623">
        <w:rPr>
          <w:rFonts w:ascii="Tahoma" w:eastAsia="Times New Roman" w:hAnsi="Tahoma" w:cs="Tahoma"/>
          <w:color w:val="000000"/>
          <w:sz w:val="20"/>
          <w:szCs w:val="18"/>
          <w:lang w:eastAsia="ru-RU" w:bidi="ru-RU"/>
        </w:rPr>
        <w:t>от имени и по поручению</w:t>
      </w: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p>
    <w:p w:rsidR="00EC5623" w:rsidRPr="00EC5623" w:rsidRDefault="00EC5623" w:rsidP="00EC5623">
      <w:pPr>
        <w:widowControl w:val="0"/>
        <w:autoSpaceDE w:val="0"/>
        <w:autoSpaceDN w:val="0"/>
        <w:adjustRightInd w:val="0"/>
        <w:spacing w:after="0" w:line="240" w:lineRule="atLeast"/>
        <w:jc w:val="both"/>
        <w:rPr>
          <w:rFonts w:ascii="Tahoma" w:eastAsia="Times New Roman" w:hAnsi="Tahoma" w:cs="Tahoma"/>
          <w:color w:val="000000"/>
          <w:sz w:val="20"/>
          <w:szCs w:val="20"/>
          <w:lang w:eastAsia="ru-RU" w:bidi="ru-RU"/>
        </w:rPr>
      </w:pPr>
      <w:r w:rsidRPr="00EC5623">
        <w:rPr>
          <w:rFonts w:ascii="Tahoma" w:eastAsia="Times New Roman" w:hAnsi="Tahoma" w:cs="Tahoma"/>
          <w:color w:val="000000"/>
          <w:sz w:val="20"/>
          <w:szCs w:val="18"/>
          <w:lang w:eastAsia="ru-RU" w:bidi="ru-RU"/>
        </w:rPr>
        <w:t>PricewaterhouseCoopers Limited</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r w:rsidRPr="00EC5623">
        <w:rPr>
          <w:rFonts w:ascii="Tahoma" w:eastAsia="Times New Roman" w:hAnsi="Tahoma" w:cs="Tahoma"/>
          <w:sz w:val="20"/>
          <w:szCs w:val="20"/>
          <w:lang w:eastAsia="ru-RU" w:bidi="ru-RU"/>
        </w:rPr>
        <w:t>Сертифицированные бухгалтеры и зарегистрированные аудиторы</w:t>
      </w:r>
    </w:p>
    <w:p w:rsidR="00EC5623" w:rsidRPr="00EC5623" w:rsidRDefault="00EC5623" w:rsidP="00EC5623">
      <w:pPr>
        <w:spacing w:after="0" w:line="240" w:lineRule="atLeast"/>
        <w:jc w:val="both"/>
        <w:rPr>
          <w:rFonts w:ascii="Tahoma" w:eastAsia="Times New Roman" w:hAnsi="Tahoma" w:cs="Tahoma"/>
          <w:sz w:val="20"/>
          <w:szCs w:val="20"/>
          <w:lang w:eastAsia="ru-RU" w:bidi="ru-RU"/>
        </w:rPr>
      </w:pPr>
    </w:p>
    <w:tbl>
      <w:tblPr>
        <w:tblW w:w="0" w:type="auto"/>
        <w:tblInd w:w="42" w:type="dxa"/>
        <w:tblLayout w:type="fixed"/>
        <w:tblCellMar>
          <w:left w:w="42" w:type="dxa"/>
          <w:right w:w="42" w:type="dxa"/>
        </w:tblCellMar>
        <w:tblLook w:val="0000" w:firstRow="0" w:lastRow="0" w:firstColumn="0" w:lastColumn="0" w:noHBand="0" w:noVBand="0"/>
      </w:tblPr>
      <w:tblGrid>
        <w:gridCol w:w="4677"/>
        <w:gridCol w:w="4677"/>
      </w:tblGrid>
      <w:tr w:rsidR="00EC5623" w:rsidRPr="00EC5623" w:rsidTr="00EC5623">
        <w:tc>
          <w:tcPr>
            <w:tcW w:w="4677" w:type="dxa"/>
            <w:tcBorders>
              <w:top w:val="nil"/>
              <w:left w:val="nil"/>
              <w:bottom w:val="nil"/>
              <w:right w:val="nil"/>
            </w:tcBorders>
          </w:tcPr>
          <w:p w:rsidR="00EC5623" w:rsidRPr="00EC5623" w:rsidRDefault="00EC5623" w:rsidP="00EC5623">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EC5623" w:rsidRPr="00EC5623" w:rsidRDefault="00EC5623" w:rsidP="00EC5623">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EC5623">
              <w:rPr>
                <w:rFonts w:ascii="Tahoma" w:eastAsia="Times New Roman" w:hAnsi="Tahoma" w:cs="Tahoma"/>
                <w:color w:val="000000"/>
                <w:sz w:val="18"/>
                <w:szCs w:val="18"/>
                <w:lang w:eastAsia="ru-RU" w:bidi="ru-RU"/>
              </w:rPr>
              <w:t>Никосия, 17 декабря 2013 года</w:t>
            </w:r>
          </w:p>
        </w:tc>
        <w:tc>
          <w:tcPr>
            <w:tcW w:w="4677" w:type="dxa"/>
            <w:tcBorders>
              <w:top w:val="nil"/>
              <w:left w:val="nil"/>
              <w:bottom w:val="nil"/>
              <w:right w:val="nil"/>
            </w:tcBorders>
          </w:tcPr>
          <w:p w:rsidR="00EC5623" w:rsidRPr="00EC5623" w:rsidRDefault="00EC5623" w:rsidP="00EC5623">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18"/>
          <w:footerReference w:type="default" r:id="rId19"/>
          <w:pgSz w:w="11952" w:h="16848"/>
          <w:pgMar w:top="1021" w:right="1190" w:bottom="1021" w:left="1418" w:header="720" w:footer="720" w:gutter="0"/>
          <w:cols w:space="720"/>
          <w:noEndnote/>
        </w:sectPr>
      </w:pPr>
      <w:r>
        <w:rPr>
          <w:rFonts w:ascii="Tahoma" w:eastAsia="Times New Roman" w:hAnsi="Tahoma" w:cs="Tahoma"/>
          <w:noProof/>
          <w:color w:val="000000"/>
          <w:sz w:val="18"/>
          <w:szCs w:val="18"/>
          <w:lang w:eastAsia="ru-RU"/>
        </w:rPr>
        <w:drawing>
          <wp:inline distT="0" distB="0" distL="0" distR="0" wp14:anchorId="7C60A455" wp14:editId="228D4026">
            <wp:extent cx="5934075" cy="8393430"/>
            <wp:effectExtent l="0" t="0" r="952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2012 FS compressed-001.jpg"/>
                    <pic:cNvPicPr/>
                  </pic:nvPicPr>
                  <pic:blipFill>
                    <a:blip r:embed="rId20">
                      <a:extLst>
                        <a:ext uri="{28A0092B-C50C-407E-A947-70E740481C1C}">
                          <a14:useLocalDpi xmlns:a14="http://schemas.microsoft.com/office/drawing/2010/main" val="0"/>
                        </a:ext>
                      </a:extLst>
                    </a:blip>
                    <a:stretch>
                      <a:fillRect/>
                    </a:stretch>
                  </pic:blipFill>
                  <pic:spPr>
                    <a:xfrm>
                      <a:off x="0" y="0"/>
                      <a:ext cx="5934075" cy="8393430"/>
                    </a:xfrm>
                    <a:prstGeom prst="rect">
                      <a:avLst/>
                    </a:prstGeom>
                  </pic:spPr>
                </pic:pic>
              </a:graphicData>
            </a:graphic>
          </wp:inline>
        </w:drawing>
      </w:r>
      <w:r>
        <w:rPr>
          <w:rFonts w:ascii="Tahoma" w:eastAsia="Times New Roman" w:hAnsi="Tahoma" w:cs="Tahoma"/>
          <w:noProof/>
          <w:color w:val="000000"/>
          <w:sz w:val="18"/>
          <w:szCs w:val="18"/>
          <w:lang w:eastAsia="ru-RU"/>
        </w:rPr>
        <w:drawing>
          <wp:inline distT="0" distB="0" distL="0" distR="0" wp14:anchorId="1FE2C19B" wp14:editId="592A1BF1">
            <wp:extent cx="5934075" cy="8393430"/>
            <wp:effectExtent l="0" t="0" r="952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2012 FS compressed-002.jpg"/>
                    <pic:cNvPicPr/>
                  </pic:nvPicPr>
                  <pic:blipFill>
                    <a:blip r:embed="rId21">
                      <a:extLst>
                        <a:ext uri="{28A0092B-C50C-407E-A947-70E740481C1C}">
                          <a14:useLocalDpi xmlns:a14="http://schemas.microsoft.com/office/drawing/2010/main" val="0"/>
                        </a:ext>
                      </a:extLst>
                    </a:blip>
                    <a:stretch>
                      <a:fillRect/>
                    </a:stretch>
                  </pic:blipFill>
                  <pic:spPr>
                    <a:xfrm>
                      <a:off x="0" y="0"/>
                      <a:ext cx="5934075" cy="8393430"/>
                    </a:xfrm>
                    <a:prstGeom prst="rect">
                      <a:avLst/>
                    </a:prstGeom>
                  </pic:spPr>
                </pic:pic>
              </a:graphicData>
            </a:graphic>
          </wp:inline>
        </w:drawing>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t xml:space="preserve">ОТЧЕТ О СОВОКУПНОМ ДОХОДЕ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За год, закончившийся 31 декабря 2012 г.</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020"/>
        <w:gridCol w:w="675"/>
        <w:gridCol w:w="1412"/>
        <w:gridCol w:w="1383"/>
      </w:tblGrid>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w:t>
            </w: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(скорректированные данные)</w:t>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Прим.</w:t>
            </w: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доходы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5</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27,412,512</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8,726,192</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Чистые доходы от выбытия активов, оцениваемых по справедливой стоимости, изменения которой отражаются в составе прибыли или убытка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6</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3,209,345</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расходы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(30,652,376)</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(1,518,600)</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(30,519)</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7,207,592</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7</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332,558,264</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326,903,359</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Доходность по инвестициям</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7</w:t>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24,000,000</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Административные расходы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8</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(19,623,492)</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(3,266,256)</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Операционная прибыль</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312,904,253</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354,844,695</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расходы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iCs/>
                <w:color w:val="000000"/>
                <w:sz w:val="18"/>
                <w:szCs w:val="18"/>
                <w:lang w:eastAsia="ru-RU" w:bidi="ru-RU"/>
              </w:rPr>
              <w:t>10</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(8,613,257)</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(6,695,326)</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Прибыль до налогообложения</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304,290,996</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348,149,369</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Налогообложение</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11</w:t>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(165,341)</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Чистая прибыль за год </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304,290,996</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347,984,028</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Прочий совокупный доход</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02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Итого совокупный (убыток)/доход за год </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304,290,996</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347,984,028</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22"/>
          <w:footerReference w:type="default" r:id="rId23"/>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t>ОТЧЕТ О ФИНАНСОВОМ ПОЛОЖЕНИИ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На 31 декабря 2012 г.</w:t>
      </w:r>
    </w:p>
    <w:tbl>
      <w:tblPr>
        <w:tblW w:w="0" w:type="auto"/>
        <w:tblInd w:w="39" w:type="dxa"/>
        <w:tblLayout w:type="fixed"/>
        <w:tblCellMar>
          <w:left w:w="39" w:type="dxa"/>
          <w:right w:w="39" w:type="dxa"/>
        </w:tblCellMar>
        <w:tblLook w:val="0000" w:firstRow="0" w:lastRow="0" w:firstColumn="0" w:lastColumn="0" w:noHBand="0" w:noVBand="0"/>
      </w:tblPr>
      <w:tblGrid>
        <w:gridCol w:w="4705"/>
        <w:gridCol w:w="675"/>
        <w:gridCol w:w="1411"/>
        <w:gridCol w:w="1282"/>
        <w:gridCol w:w="1281"/>
      </w:tblGrid>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2012 года</w:t>
            </w: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31 декабря 2011 года (скорректированные данные)</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 января 2011 года (скорректированные данные)</w:t>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Прим.</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АКТИВЫ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Долгосрочные активы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16</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1,334,375,294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779,687,552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446,691,884</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Инвестиции в ассоциированное предприятие</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9,583,300</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9,583,300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по долгосрочным займам</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19</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294,162,727</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223,355,142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87,618,855</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1,638,121,321</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1,012,625,994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534,310,739</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Краткосрочные активы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25,936,968</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58,535,445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62,101,450</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по краткосрочным займам</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19</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17,781,224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10,122,155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Денежные средства и их эквиваленты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21</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2,614,659</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12,253,214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3,662,435</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46,332,851</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80,910,814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65,763,885</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Итого активы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1,684,454,172</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1,093,536,808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600,074,624</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КАПИТАЛ И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Капитал</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Акционерный капитал</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22</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667,804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17,764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17,764</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Погашаемые привилегированные акции</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22</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168</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Эмиссионный доход </w:t>
            </w:r>
            <w:r w:rsidRPr="0073427F">
              <w:rPr>
                <w:rFonts w:ascii="Tahoma" w:eastAsia="Times New Roman" w:hAnsi="Tahoma" w:cs="Tahoma"/>
                <w:color w:val="000000"/>
                <w:sz w:val="18"/>
                <w:szCs w:val="18"/>
                <w:lang w:eastAsia="ru-RU" w:bidi="ru-RU"/>
              </w:rPr>
              <w:noBreakHyphen/>
              <w:t xml:space="preserve"> обыкновенные акции</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22</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471,245,927</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468,566,000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504,583,507</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Эмиссионный доход - погашаемые привилегированные акции</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22</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167,899,832</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Взнос акционеров</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23</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61,359,526</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Нераспределенная прибыль </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673,194,465</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372,853,469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24,869,441</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Итого капитал</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1,313,008,196</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841,437,233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590,830,238</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Долгосрочные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Заемные средства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294,894,593</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173,617,721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Производные финансовые инструменты</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18</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4,132,419</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299,027,012</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173,617,721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Краткосрочные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Торговая и прочая кредиторская задолженность</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25</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47,139,062</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34,136,739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9,237,271</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Заемные средства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25,272,787</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44,338,000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Текущие налоговые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26</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7,115</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7,115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7,115</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72,418,964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78,481,854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9,244,386</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Итого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371,445,976</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252,099,575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9,244,386</w:t>
            </w:r>
            <w:r w:rsidRPr="0073427F">
              <w:rPr>
                <w:rFonts w:ascii="Tahoma" w:eastAsia="Times New Roman" w:hAnsi="Tahoma" w:cs="Tahoma"/>
                <w:color w:val="000000"/>
                <w:sz w:val="18"/>
                <w:szCs w:val="18"/>
                <w:lang w:eastAsia="ru-RU" w:bidi="ru-RU"/>
              </w:rPr>
              <w:tab/>
            </w: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47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Итого капитал и обязательства</w:t>
            </w:r>
          </w:p>
        </w:tc>
        <w:tc>
          <w:tcPr>
            <w:tcW w:w="67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1,684,454,172</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1,093,536,808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600,074,624</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2"/>
          <w:szCs w:val="12"/>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17 декабря 2013 года Совет директоров O1 Properties Limited утвердил данную финансовую отчетность к выпуску.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2"/>
          <w:szCs w:val="12"/>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4960"/>
        <w:gridCol w:w="4961"/>
      </w:tblGrid>
      <w:tr w:rsidR="0073427F" w:rsidRPr="0073427F" w:rsidTr="0073427F">
        <w:tc>
          <w:tcPr>
            <w:tcW w:w="496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9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96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w:t>
            </w:r>
          </w:p>
        </w:tc>
        <w:tc>
          <w:tcPr>
            <w:tcW w:w="49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w:t>
            </w:r>
          </w:p>
        </w:tc>
      </w:tr>
      <w:tr w:rsidR="0073427F" w:rsidRPr="0073427F" w:rsidTr="0073427F">
        <w:tc>
          <w:tcPr>
            <w:tcW w:w="496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Томаш Замиара </w:t>
            </w:r>
          </w:p>
        </w:tc>
        <w:tc>
          <w:tcPr>
            <w:tcW w:w="49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Майкл Стэнтон</w:t>
            </w:r>
          </w:p>
        </w:tc>
      </w:tr>
      <w:tr w:rsidR="0073427F" w:rsidRPr="0073427F" w:rsidTr="0073427F">
        <w:tc>
          <w:tcPr>
            <w:tcW w:w="496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Директор</w:t>
            </w:r>
          </w:p>
        </w:tc>
        <w:tc>
          <w:tcPr>
            <w:tcW w:w="49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Директор</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24"/>
          <w:footerReference w:type="default" r:id="rId25"/>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t>ОТЧЕТ ОБ ИЗМЕНЕНИЯХ В КАПИТАЛЕ</w:t>
      </w:r>
      <w:r w:rsidRPr="0073427F">
        <w:rPr>
          <w:rFonts w:ascii="Tahoma" w:eastAsia="Times New Roman" w:hAnsi="Tahoma" w:cs="Tahoma"/>
          <w:color w:val="000000"/>
          <w:sz w:val="18"/>
          <w:szCs w:val="28"/>
          <w:lang w:eastAsia="ru-RU" w:bidi="ru-RU"/>
        </w:rPr>
        <w:t xml:space="preserve">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За год, закончившийся 31 декабря 2012 г.</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1700"/>
        <w:gridCol w:w="459"/>
        <w:gridCol w:w="834"/>
        <w:gridCol w:w="1009"/>
        <w:gridCol w:w="1208"/>
        <w:gridCol w:w="1326"/>
        <w:gridCol w:w="1140"/>
        <w:gridCol w:w="1122"/>
        <w:gridCol w:w="1281"/>
      </w:tblGrid>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Акционерный капитал</w:t>
            </w: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Погашаемые привилегированные акции</w:t>
            </w: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 xml:space="preserve">Эмиссионный доход </w:t>
            </w:r>
            <w:r w:rsidRPr="0073427F">
              <w:rPr>
                <w:rFonts w:ascii="Tahoma" w:eastAsia="Times New Roman" w:hAnsi="Tahoma" w:cs="Tahoma"/>
                <w:color w:val="000000"/>
                <w:sz w:val="18"/>
                <w:szCs w:val="18"/>
                <w:lang w:eastAsia="ru-RU" w:bidi="ru-RU"/>
              </w:rPr>
              <w:noBreakHyphen/>
            </w:r>
            <w:r w:rsidRPr="0073427F">
              <w:rPr>
                <w:rFonts w:ascii="Tahoma" w:eastAsia="Times New Roman" w:hAnsi="Tahoma" w:cs="Tahoma"/>
                <w:color w:val="000000"/>
                <w:sz w:val="16"/>
                <w:szCs w:val="18"/>
                <w:lang w:eastAsia="ru-RU" w:bidi="ru-RU"/>
              </w:rPr>
              <w:t xml:space="preserve"> обыкновенные акции</w:t>
            </w: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Эмиссионный доход - погашаемые привилегированные акции</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Взнос акционеров</w:t>
            </w: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Накопленные (убытки)/нераспределенная прибыль (1)</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Итого</w:t>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Прим.</w:t>
            </w: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Долл. США</w:t>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3427F">
              <w:rPr>
                <w:rFonts w:ascii="Tahoma" w:eastAsia="Times New Roman" w:hAnsi="Tahoma" w:cs="Tahoma"/>
                <w:b/>
                <w:color w:val="000000"/>
                <w:sz w:val="16"/>
                <w:szCs w:val="18"/>
                <w:lang w:eastAsia="ru-RU" w:bidi="ru-RU"/>
              </w:rPr>
              <w:t xml:space="preserve">Остаток на 1 января 2011 г. </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727"/>
                <w:tab w:val="left" w:pos="753"/>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17,764</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1102"/>
                <w:tab w:val="left" w:pos="11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504,583,507</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61,359,526</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24,869,441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single"/>
                <w:lang w:eastAsia="ru-RU" w:bidi="ru-RU"/>
              </w:rPr>
              <w:t>590,830,238</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3427F">
              <w:rPr>
                <w:rFonts w:ascii="Tahoma" w:eastAsia="Times New Roman" w:hAnsi="Tahoma" w:cs="Tahoma"/>
                <w:b/>
                <w:color w:val="000000"/>
                <w:sz w:val="16"/>
                <w:szCs w:val="18"/>
                <w:lang w:eastAsia="ru-RU" w:bidi="ru-RU"/>
              </w:rPr>
              <w:t>Совокупный доход</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Итого совокупный доход за год</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612"/>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986"/>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347,984,028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347,984,028</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3427F">
              <w:rPr>
                <w:rFonts w:ascii="Tahoma" w:eastAsia="Times New Roman" w:hAnsi="Tahoma" w:cs="Tahoma"/>
                <w:b/>
                <w:color w:val="000000"/>
                <w:sz w:val="16"/>
                <w:szCs w:val="18"/>
                <w:lang w:eastAsia="ru-RU" w:bidi="ru-RU"/>
              </w:rPr>
              <w:t>Операции с владельцами</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Уменьшение эмиссионного дохода</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22</w:t>
            </w:r>
          </w:p>
        </w:tc>
        <w:tc>
          <w:tcPr>
            <w:tcW w:w="834" w:type="dxa"/>
            <w:tcBorders>
              <w:top w:val="nil"/>
              <w:left w:val="nil"/>
              <w:bottom w:val="nil"/>
              <w:right w:val="nil"/>
            </w:tcBorders>
            <w:vAlign w:val="bottom"/>
          </w:tcPr>
          <w:p w:rsidR="0073427F" w:rsidRPr="0073427F" w:rsidRDefault="0073427F" w:rsidP="0073427F">
            <w:pPr>
              <w:widowControl w:val="0"/>
              <w:tabs>
                <w:tab w:val="right" w:pos="612"/>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1102"/>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(36,017,507)</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(36,017,507)</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Взнос акционеров</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612"/>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986"/>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(61,359,526)</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(61,359,526)</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3427F">
              <w:rPr>
                <w:rFonts w:ascii="Tahoma" w:eastAsia="Times New Roman" w:hAnsi="Tahoma" w:cs="Tahoma"/>
                <w:b/>
                <w:color w:val="000000"/>
                <w:sz w:val="16"/>
                <w:szCs w:val="18"/>
                <w:lang w:eastAsia="ru-RU" w:bidi="ru-RU"/>
              </w:rPr>
              <w:t>Остаток на 31 декабря 2011 г.</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727"/>
                <w:tab w:val="left" w:pos="753"/>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17,764</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1102"/>
                <w:tab w:val="left" w:pos="11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468,566,000</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372,853,469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841,437,233</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Итого совокупный доход за год</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612"/>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986"/>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304,290,996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304,290,996</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3427F">
              <w:rPr>
                <w:rFonts w:ascii="Tahoma" w:eastAsia="Times New Roman" w:hAnsi="Tahoma" w:cs="Tahoma"/>
                <w:b/>
                <w:color w:val="000000"/>
                <w:sz w:val="16"/>
                <w:szCs w:val="18"/>
                <w:lang w:eastAsia="ru-RU" w:bidi="ru-RU"/>
              </w:rPr>
              <w:t>Операции с владельцами</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00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08"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326"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12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Выпуск акционерного капитала</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22</w:t>
            </w:r>
          </w:p>
        </w:tc>
        <w:tc>
          <w:tcPr>
            <w:tcW w:w="834" w:type="dxa"/>
            <w:tcBorders>
              <w:top w:val="nil"/>
              <w:left w:val="nil"/>
              <w:bottom w:val="nil"/>
              <w:right w:val="nil"/>
            </w:tcBorders>
            <w:vAlign w:val="bottom"/>
          </w:tcPr>
          <w:p w:rsidR="0073427F" w:rsidRPr="0073427F" w:rsidRDefault="0073427F" w:rsidP="0073427F">
            <w:pPr>
              <w:widowControl w:val="0"/>
              <w:tabs>
                <w:tab w:val="right" w:pos="727"/>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650,040</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902"/>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168</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1102"/>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2,679,927</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219"/>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167,899,832</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lang w:eastAsia="ru-RU" w:bidi="ru-RU"/>
              </w:rPr>
              <w:t>171,229,967</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Дивиденды</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r w:rsidRPr="0073427F">
              <w:rPr>
                <w:rFonts w:ascii="Tahoma" w:eastAsia="Times New Roman" w:hAnsi="Tahoma" w:cs="Tahoma"/>
                <w:color w:val="000000"/>
                <w:sz w:val="16"/>
                <w:szCs w:val="18"/>
                <w:lang w:eastAsia="ru-RU" w:bidi="ru-RU"/>
              </w:rPr>
              <w:t>12</w:t>
            </w:r>
          </w:p>
        </w:tc>
        <w:tc>
          <w:tcPr>
            <w:tcW w:w="834" w:type="dxa"/>
            <w:tcBorders>
              <w:top w:val="nil"/>
              <w:left w:val="nil"/>
              <w:bottom w:val="nil"/>
              <w:right w:val="nil"/>
            </w:tcBorders>
            <w:vAlign w:val="bottom"/>
          </w:tcPr>
          <w:p w:rsidR="0073427F" w:rsidRPr="0073427F" w:rsidRDefault="0073427F" w:rsidP="0073427F">
            <w:pPr>
              <w:widowControl w:val="0"/>
              <w:tabs>
                <w:tab w:val="right" w:pos="612"/>
                <w:tab w:val="left" w:pos="753"/>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986"/>
                <w:tab w:val="left" w:pos="112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(3,950,000)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6"/>
                <w:szCs w:val="18"/>
                <w:u w:val="single"/>
                <w:lang w:eastAsia="ru-RU" w:bidi="ru-RU"/>
              </w:rPr>
              <w:t>(3,950,000)</w:t>
            </w:r>
            <w:r w:rsidRPr="0073427F">
              <w:rPr>
                <w:rFonts w:ascii="Tahoma" w:eastAsia="Times New Roman" w:hAnsi="Tahoma" w:cs="Tahoma"/>
                <w:color w:val="000000"/>
                <w:sz w:val="18"/>
                <w:szCs w:val="18"/>
                <w:lang w:eastAsia="ru-RU" w:bidi="ru-RU"/>
              </w:rPr>
              <w:tab/>
            </w:r>
          </w:p>
        </w:tc>
      </w:tr>
      <w:tr w:rsidR="0073427F" w:rsidRPr="0073427F" w:rsidTr="0073427F">
        <w:tc>
          <w:tcPr>
            <w:tcW w:w="1700"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6"/>
                <w:szCs w:val="16"/>
                <w:lang w:eastAsia="ru-RU" w:bidi="ru-RU"/>
              </w:rPr>
            </w:pPr>
            <w:r w:rsidRPr="0073427F">
              <w:rPr>
                <w:rFonts w:ascii="Tahoma" w:eastAsia="Times New Roman" w:hAnsi="Tahoma" w:cs="Tahoma"/>
                <w:b/>
                <w:bCs/>
                <w:color w:val="000000"/>
                <w:sz w:val="16"/>
                <w:szCs w:val="18"/>
                <w:lang w:eastAsia="ru-RU" w:bidi="ru-RU"/>
              </w:rPr>
              <w:t>Остаток на 31 декабря 2012 г.</w:t>
            </w:r>
          </w:p>
        </w:tc>
        <w:tc>
          <w:tcPr>
            <w:tcW w:w="45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p>
        </w:tc>
        <w:tc>
          <w:tcPr>
            <w:tcW w:w="834" w:type="dxa"/>
            <w:tcBorders>
              <w:top w:val="nil"/>
              <w:left w:val="nil"/>
              <w:bottom w:val="nil"/>
              <w:right w:val="nil"/>
            </w:tcBorders>
            <w:vAlign w:val="bottom"/>
          </w:tcPr>
          <w:p w:rsidR="0073427F" w:rsidRPr="0073427F" w:rsidRDefault="0073427F" w:rsidP="0073427F">
            <w:pPr>
              <w:widowControl w:val="0"/>
              <w:tabs>
                <w:tab w:val="right" w:pos="727"/>
                <w:tab w:val="left" w:pos="753"/>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667,804</w:t>
            </w:r>
            <w:r w:rsidRPr="0073427F">
              <w:rPr>
                <w:rFonts w:ascii="Tahoma" w:eastAsia="Times New Roman" w:hAnsi="Tahoma" w:cs="Tahoma"/>
                <w:color w:val="000000"/>
                <w:sz w:val="18"/>
                <w:szCs w:val="18"/>
                <w:lang w:eastAsia="ru-RU" w:bidi="ru-RU"/>
              </w:rPr>
              <w:tab/>
            </w:r>
          </w:p>
        </w:tc>
        <w:tc>
          <w:tcPr>
            <w:tcW w:w="1009" w:type="dxa"/>
            <w:tcBorders>
              <w:top w:val="nil"/>
              <w:left w:val="nil"/>
              <w:bottom w:val="nil"/>
              <w:right w:val="nil"/>
            </w:tcBorders>
            <w:vAlign w:val="bottom"/>
          </w:tcPr>
          <w:p w:rsidR="0073427F" w:rsidRPr="0073427F" w:rsidRDefault="0073427F" w:rsidP="0073427F">
            <w:pPr>
              <w:widowControl w:val="0"/>
              <w:tabs>
                <w:tab w:val="right" w:pos="902"/>
                <w:tab w:val="left" w:pos="9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168</w:t>
            </w:r>
            <w:r w:rsidRPr="0073427F">
              <w:rPr>
                <w:rFonts w:ascii="Tahoma" w:eastAsia="Times New Roman" w:hAnsi="Tahoma" w:cs="Tahoma"/>
                <w:color w:val="000000"/>
                <w:sz w:val="18"/>
                <w:szCs w:val="18"/>
                <w:lang w:eastAsia="ru-RU" w:bidi="ru-RU"/>
              </w:rPr>
              <w:tab/>
            </w:r>
          </w:p>
        </w:tc>
        <w:tc>
          <w:tcPr>
            <w:tcW w:w="1208" w:type="dxa"/>
            <w:tcBorders>
              <w:top w:val="nil"/>
              <w:left w:val="nil"/>
              <w:bottom w:val="nil"/>
              <w:right w:val="nil"/>
            </w:tcBorders>
            <w:vAlign w:val="bottom"/>
          </w:tcPr>
          <w:p w:rsidR="0073427F" w:rsidRPr="0073427F" w:rsidRDefault="0073427F" w:rsidP="0073427F">
            <w:pPr>
              <w:widowControl w:val="0"/>
              <w:tabs>
                <w:tab w:val="right" w:pos="1102"/>
                <w:tab w:val="left" w:pos="112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471,245,927</w:t>
            </w:r>
            <w:r w:rsidRPr="0073427F">
              <w:rPr>
                <w:rFonts w:ascii="Tahoma" w:eastAsia="Times New Roman" w:hAnsi="Tahoma" w:cs="Tahoma"/>
                <w:color w:val="000000"/>
                <w:sz w:val="18"/>
                <w:szCs w:val="18"/>
                <w:lang w:eastAsia="ru-RU" w:bidi="ru-RU"/>
              </w:rPr>
              <w:tab/>
            </w:r>
          </w:p>
        </w:tc>
        <w:tc>
          <w:tcPr>
            <w:tcW w:w="1326" w:type="dxa"/>
            <w:tcBorders>
              <w:top w:val="nil"/>
              <w:left w:val="nil"/>
              <w:bottom w:val="nil"/>
              <w:right w:val="nil"/>
            </w:tcBorders>
            <w:vAlign w:val="bottom"/>
          </w:tcPr>
          <w:p w:rsidR="0073427F" w:rsidRPr="0073427F" w:rsidRDefault="0073427F" w:rsidP="0073427F">
            <w:pPr>
              <w:widowControl w:val="0"/>
              <w:tabs>
                <w:tab w:val="right" w:pos="1219"/>
                <w:tab w:val="left" w:pos="1245"/>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167,899,832</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w:t>
            </w:r>
            <w:r w:rsidRPr="0073427F">
              <w:rPr>
                <w:rFonts w:ascii="Tahoma" w:eastAsia="Times New Roman" w:hAnsi="Tahoma" w:cs="Tahoma"/>
                <w:color w:val="000000"/>
                <w:sz w:val="18"/>
                <w:szCs w:val="18"/>
                <w:lang w:eastAsia="ru-RU" w:bidi="ru-RU"/>
              </w:rPr>
              <w:tab/>
            </w:r>
          </w:p>
        </w:tc>
        <w:tc>
          <w:tcPr>
            <w:tcW w:w="1122" w:type="dxa"/>
            <w:tcBorders>
              <w:top w:val="nil"/>
              <w:left w:val="nil"/>
              <w:bottom w:val="nil"/>
              <w:right w:val="nil"/>
            </w:tcBorders>
            <w:vAlign w:val="bottom"/>
          </w:tcPr>
          <w:p w:rsidR="0073427F" w:rsidRPr="0073427F" w:rsidRDefault="0073427F" w:rsidP="0073427F">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673,194,465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6"/>
                <w:szCs w:val="18"/>
                <w:u w:val="double"/>
                <w:lang w:eastAsia="ru-RU" w:bidi="ru-RU"/>
              </w:rPr>
              <w:t>1,313,008,196</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w:t>
      </w:r>
      <w:r w:rsidRPr="0073427F">
        <w:rPr>
          <w:rFonts w:ascii="Tahoma" w:eastAsia="Times New Roman" w:hAnsi="Tahoma" w:cs="Tahoma"/>
          <w:color w:val="000000"/>
          <w:sz w:val="18"/>
          <w:szCs w:val="18"/>
          <w:lang w:eastAsia="ru-RU" w:bidi="ru-RU"/>
        </w:rPr>
        <w:tab/>
        <w:t xml:space="preserve">Компании, не распределяющие 70% своей прибыли после налогообложения (как установлено Законом о специальном сборе на оборону Республики) к концу двухлетнего периода после окончания рассматриваемого года, к которому относится такая прибыль, будут рассматриваться как распределившие эту сумму в форме дивидендов. Специальный сбор на оборону по ставке 15% подлежит выплате с суммы указанного выше условного дивиденда в случае, если акционеры для условного распределения дивидендов по состоянию на конец двухлетнего периода после окончания рассматриваемого года, к которому относится такая прибыль, являются налоговыми резидентами Кипра. Ставка специального сбора на оборону повысилась до 17% в отношении прибыли за 2009 год и до 20% в отношении прибыли за 2010 и 2011 годы. Сумма такого условного распределения дивидендов снижается на сумму дивидендов, фактически выплаченных из прибыли соответствующего года к концу двухлетнего периода после окончания рассматриваемого года, к которому относится такая прибыль. Данный специальный сбор на оборону Компании выплачивается за счет акционеров.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26"/>
          <w:footerReference w:type="default" r:id="rId27"/>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3427F">
        <w:rPr>
          <w:rFonts w:ascii="Tahoma" w:eastAsia="Times New Roman" w:hAnsi="Tahoma" w:cs="Tahoma"/>
          <w:color w:val="000000"/>
          <w:sz w:val="28"/>
          <w:szCs w:val="28"/>
          <w:lang w:eastAsia="ru-RU" w:bidi="ru-RU"/>
        </w:rPr>
        <w:t xml:space="preserve">ОТЧЕТ О ДВИЖЕНИИ ДЕНЕЖНЫХ СРЕДСТВ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3427F">
        <w:rPr>
          <w:rFonts w:ascii="Tahoma" w:eastAsia="Times New Roman" w:hAnsi="Tahoma" w:cs="Tahoma"/>
          <w:color w:val="000000"/>
          <w:sz w:val="24"/>
          <w:szCs w:val="24"/>
          <w:lang w:eastAsia="ru-RU" w:bidi="ru-RU"/>
        </w:rPr>
        <w:t>За год, закончившийся 31 декабря 2012 г.</w:t>
      </w:r>
    </w:p>
    <w:tbl>
      <w:tblPr>
        <w:tblW w:w="0" w:type="auto"/>
        <w:tblInd w:w="39" w:type="dxa"/>
        <w:tblLayout w:type="fixed"/>
        <w:tblCellMar>
          <w:left w:w="39" w:type="dxa"/>
          <w:right w:w="39" w:type="dxa"/>
        </w:tblCellMar>
        <w:tblLook w:val="0000" w:firstRow="0" w:lastRow="0" w:firstColumn="0" w:lastColumn="0" w:noHBand="0" w:noVBand="0"/>
      </w:tblPr>
      <w:tblGrid>
        <w:gridCol w:w="6105"/>
        <w:gridCol w:w="562"/>
        <w:gridCol w:w="1411"/>
        <w:gridCol w:w="1281"/>
      </w:tblGrid>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(скорректированные данные)</w:t>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Прим.</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ДЕНЕЖНЫЕ СРЕДСТВА ОТ ОПЕРАЦИОННОЙ ДЕЯТЕЛЬНОСТИ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Прибыль до налогообложения</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304,290,996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348,149,369</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Корректировки </w:t>
            </w:r>
            <w:proofErr w:type="gramStart"/>
            <w:r w:rsidRPr="0073427F">
              <w:rPr>
                <w:rFonts w:ascii="Tahoma" w:eastAsia="Times New Roman" w:hAnsi="Tahoma" w:cs="Tahoma"/>
                <w:color w:val="000000"/>
                <w:sz w:val="18"/>
                <w:szCs w:val="18"/>
                <w:lang w:eastAsia="ru-RU" w:bidi="ru-RU"/>
              </w:rPr>
              <w:t>на</w:t>
            </w:r>
            <w:proofErr w:type="gramEnd"/>
            <w:r w:rsidRPr="0073427F">
              <w:rPr>
                <w:rFonts w:ascii="Tahoma" w:eastAsia="Times New Roman" w:hAnsi="Tahoma" w:cs="Tahoma"/>
                <w:color w:val="000000"/>
                <w:sz w:val="18"/>
                <w:szCs w:val="18"/>
                <w:lang w:eastAsia="ru-RU" w:bidi="ru-RU"/>
              </w:rPr>
              <w:t>:</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Нереализованная отрицательная курсовая разница по заемным средствам </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2,110,720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2,371,891</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Чистые доходы от выбытия финансовых активов, оцениваемых по справедливой стоимости, изменения которой отражаются в составе прибыли или убытка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6</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(3,209,345)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Изменение справедливой стоимости производных финансовых инструментов</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4,132,419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(332,558,264)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(326,903,359)</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Доход, полученные от уменьшения капитала дочерних предприятий</w:t>
            </w:r>
            <w:proofErr w:type="gramEnd"/>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7</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(24,000,000)</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доходы</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5</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(27,412,512)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(8,724,826)</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расходы</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30,652,376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1,280,200</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Денежные средства, использованные в операционной деятельности до изменения оборотного капитала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(21,993,610)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(7,826,725)</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Уменьшение дебиторской задолженности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40,412,591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3,949,941</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Прирост/(уменьшение) торговой и прочей кредиторской задолженности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4,631,280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(2,596,185)</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roofErr w:type="gramStart"/>
            <w:r w:rsidRPr="0073427F">
              <w:rPr>
                <w:rFonts w:ascii="Tahoma" w:eastAsia="Times New Roman" w:hAnsi="Tahoma" w:cs="Tahoma"/>
                <w:b/>
                <w:color w:val="000000"/>
                <w:sz w:val="18"/>
                <w:szCs w:val="18"/>
                <w:lang w:eastAsia="ru-RU" w:bidi="ru-RU"/>
              </w:rPr>
              <w:t>Денежные средства, полученные от (использованные в) операционной деятельности</w:t>
            </w:r>
            <w:proofErr w:type="gramEnd"/>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23,050,261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(6,472,969)</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Налоги уплаченные</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(148,125)</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roofErr w:type="gramStart"/>
            <w:r w:rsidRPr="0073427F">
              <w:rPr>
                <w:rFonts w:ascii="Tahoma" w:eastAsia="Times New Roman" w:hAnsi="Tahoma" w:cs="Tahoma"/>
                <w:b/>
                <w:bCs/>
                <w:color w:val="000000"/>
                <w:sz w:val="18"/>
                <w:szCs w:val="18"/>
                <w:lang w:eastAsia="ru-RU" w:bidi="ru-RU"/>
              </w:rPr>
              <w:t>Чистые денежные средства, полученные от/(использованные в) операционной деятельности</w:t>
            </w:r>
            <w:proofErr w:type="gramEnd"/>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23,050,261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(6,621,094)</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ДЕНЕЖНЫЕ СРЕДСТВА ОТ ИНВЕСТИЦИОННОЙ ДЕЯТЕЛЬНОСТИ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Оплата приобретенных финансовых активов, оцениваемых по справедливой стоимости, изменения которой отражаются в составе прибыли или убытка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16</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(130,980,352)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(18,159,375)</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выданные</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(223,154,090)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(215,671,201)</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Погашение займов выданных</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92,075,860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8,371,421</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Поступления от продажи инвестиций в финансовые активы, оцениваемые по справедливой стоимости, изменения которой отражаются в составе прибыли или убытка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73,000,000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 полученные</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18,486,186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23,800</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Чистые денежные средства, использованные в инвестиционной деятельности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(170,572,396)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(225,435,354)</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ДЕНЕЖНЫЕ СРЕДСТВА ОТ ФИНАНСОВОЙ ДЕЯТЕЛЬНОСТИ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Поступления от выпуска акций</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3,329,987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Выплата заемных средств</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(154,040,951)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(32,885,257)</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Поступление заемных средств</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306,302,330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274,394,210</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 уплаченные</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(11,478,163)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(411,726)</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Дивиденды выплаченные</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(3,950,000)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Комиссия за предоставление финансирования</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(2,279,623)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(450,000)</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Чистые денежные средства от финансовой деятельности</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137,883,580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240,647,227</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Чистое уменьшение / прирост денежных средств и их эквивалентов</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(9,638,555)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8,590,779</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Денежные средства и их эквиваленты:</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начало года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12,253,214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3,662,435</w:t>
            </w:r>
            <w:r w:rsidRPr="0073427F">
              <w:rPr>
                <w:rFonts w:ascii="Tahoma" w:eastAsia="Times New Roman" w:hAnsi="Tahoma" w:cs="Tahoma"/>
                <w:color w:val="000000"/>
                <w:sz w:val="18"/>
                <w:szCs w:val="18"/>
                <w:lang w:eastAsia="ru-RU" w:bidi="ru-RU"/>
              </w:rPr>
              <w:tab/>
            </w:r>
          </w:p>
        </w:tc>
      </w:tr>
      <w:tr w:rsidR="0073427F" w:rsidRPr="0073427F" w:rsidTr="0073427F">
        <w:tc>
          <w:tcPr>
            <w:tcW w:w="610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На конец года</w:t>
            </w:r>
          </w:p>
        </w:tc>
        <w:tc>
          <w:tcPr>
            <w:tcW w:w="56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21</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2,614,659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12,253,214</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Неденежные операции: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1. 29 декабря 2011 года Совет директоров предложил, а акционеры Компании единогласно утвердили решение об уменьшении счета эмиссионного дохода на 36 018 тысяч долларов США и взноса акционеров на 61 360 тысяч долларов США. Указанное уменьшение было осуществлено за счет передачи финансовых инструментов 29 декабря 2011 года.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 В 2011 году цена покупки акций Discovery Russian Realty Paveletskaya Project Limited не была включена в отчет о движении денежных средств, так как акции были оплачены посредством передачи Компании векселей, выпущенных компанией Salastar Limited на сумму 108,000,000 долларов США.  Данные векселя были внесены компанией Salastar Investments Limited в эмиссионный доход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3. В 2011 году часть цены покупки акций Wallasey Limited и Longmoor Limited не была включена в отчет о движении денежных средств, так как акции были оплачены посредством передачи Компании векселей, выпущенных компанией Salastar Limited на сумму 44,000,000 долларов США.  Данные векселя были внесены компанией Salastar Investments Limited в эмиссионный доход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4. В 2011 году покупка Talisia Limited за 54,000,0000 долларов США и продажа Talisia Limited и Dawson International Inc не были включены в отчет о движении денежных средств, так как эти операции были урегулированы передачей векселей. Данные векселя были внесены компанией Salastar Investments Limited в эмиссионный доход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5. В 2011 году сумма 61,359,526 долларов США, включенная во взнос акционеров, была урегулирована посредством передачи дебиторской задолженности по займам от Dawson International Inc. и ЗАО «Стройпласт».</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6. 26 апреля 2012 года в рамках реструктуризации группы акции Компании в Discovery Russian Realty Paveletskaya Limited, Effusive Holdings Limited, Flybase Investments Limited, Celera Corporation и Paremos Limited были переведены в Ratado Holdings Limited. Выплата за переведенные акции была произведена компанией Ratado Holdings Limited в виде выпуска дополнительных обыкновенных акций. Сумма к получению в размере 51,400,000 долларов США от Celera Corporation была также передана Ratado Holings Limited в качестве выплаты за эти акции.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val="en-US" w:eastAsia="ru-RU" w:bidi="ru-RU"/>
        </w:rPr>
        <w:t xml:space="preserve">7. 17 </w:t>
      </w:r>
      <w:r w:rsidRPr="0073427F">
        <w:rPr>
          <w:rFonts w:ascii="Tahoma" w:eastAsia="Times New Roman" w:hAnsi="Tahoma" w:cs="Tahoma"/>
          <w:color w:val="000000"/>
          <w:sz w:val="18"/>
          <w:szCs w:val="18"/>
          <w:lang w:eastAsia="ru-RU" w:bidi="ru-RU"/>
        </w:rPr>
        <w:t>октября</w:t>
      </w:r>
      <w:r w:rsidRPr="0073427F">
        <w:rPr>
          <w:rFonts w:ascii="Tahoma" w:eastAsia="Times New Roman" w:hAnsi="Tahoma" w:cs="Tahoma"/>
          <w:color w:val="000000"/>
          <w:sz w:val="18"/>
          <w:szCs w:val="18"/>
          <w:lang w:val="en-US" w:eastAsia="ru-RU" w:bidi="ru-RU"/>
        </w:rPr>
        <w:t xml:space="preserve"> 2012 </w:t>
      </w:r>
      <w:r w:rsidRPr="0073427F">
        <w:rPr>
          <w:rFonts w:ascii="Tahoma" w:eastAsia="Times New Roman" w:hAnsi="Tahoma" w:cs="Tahoma"/>
          <w:color w:val="000000"/>
          <w:sz w:val="18"/>
          <w:szCs w:val="18"/>
          <w:lang w:eastAsia="ru-RU" w:bidi="ru-RU"/>
        </w:rPr>
        <w:t>года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Компания</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приобрела</w:t>
      </w:r>
      <w:r w:rsidRPr="0073427F">
        <w:rPr>
          <w:rFonts w:ascii="Tahoma" w:eastAsia="Times New Roman" w:hAnsi="Tahoma" w:cs="Tahoma"/>
          <w:color w:val="000000"/>
          <w:sz w:val="18"/>
          <w:szCs w:val="18"/>
          <w:lang w:val="en-US" w:eastAsia="ru-RU" w:bidi="ru-RU"/>
        </w:rPr>
        <w:t xml:space="preserve"> 100% </w:t>
      </w:r>
      <w:r w:rsidRPr="0073427F">
        <w:rPr>
          <w:rFonts w:ascii="Tahoma" w:eastAsia="Times New Roman" w:hAnsi="Tahoma" w:cs="Tahoma"/>
          <w:color w:val="000000"/>
          <w:sz w:val="18"/>
          <w:szCs w:val="18"/>
          <w:lang w:eastAsia="ru-RU" w:bidi="ru-RU"/>
        </w:rPr>
        <w:t>в</w:t>
      </w:r>
      <w:r w:rsidRPr="0073427F">
        <w:rPr>
          <w:rFonts w:ascii="Tahoma" w:eastAsia="Times New Roman" w:hAnsi="Tahoma" w:cs="Tahoma"/>
          <w:color w:val="000000"/>
          <w:sz w:val="18"/>
          <w:szCs w:val="18"/>
          <w:lang w:val="en-US" w:eastAsia="ru-RU" w:bidi="ru-RU"/>
        </w:rPr>
        <w:t xml:space="preserve"> Hines DPIII Realty Limited (Cyprus), Hines DPIII Development Limited (Cyprus) </w:t>
      </w:r>
      <w:r w:rsidRPr="0073427F">
        <w:rPr>
          <w:rFonts w:ascii="Tahoma" w:eastAsia="Times New Roman" w:hAnsi="Tahoma" w:cs="Tahoma"/>
          <w:color w:val="000000"/>
          <w:sz w:val="18"/>
          <w:szCs w:val="18"/>
          <w:lang w:eastAsia="ru-RU" w:bidi="ru-RU"/>
        </w:rPr>
        <w:t>и</w:t>
      </w:r>
      <w:r w:rsidRPr="0073427F">
        <w:rPr>
          <w:rFonts w:ascii="Tahoma" w:eastAsia="Times New Roman" w:hAnsi="Tahoma" w:cs="Tahoma"/>
          <w:color w:val="000000"/>
          <w:sz w:val="18"/>
          <w:szCs w:val="18"/>
          <w:lang w:val="en-US" w:eastAsia="ru-RU" w:bidi="ru-RU"/>
        </w:rPr>
        <w:t xml:space="preserve"> Tropical Sunset Holdings Inc. </w:t>
      </w:r>
      <w:r w:rsidRPr="0073427F">
        <w:rPr>
          <w:rFonts w:ascii="Tahoma" w:eastAsia="Times New Roman" w:hAnsi="Tahoma" w:cs="Tahoma"/>
          <w:color w:val="000000"/>
          <w:sz w:val="18"/>
          <w:szCs w:val="18"/>
          <w:lang w:eastAsia="ru-RU" w:bidi="ru-RU"/>
        </w:rPr>
        <w:t xml:space="preserve">(British Virgin Islands) у компании, контролируемой Основным владельцем, за общую сумму 167,900,000 долларов США. Выплата за переведенные акции была произведена в виде выпуска 167,900 погашемых привилегированных акций.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28"/>
          <w:footerReference w:type="default" r:id="rId29"/>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 Регистрация и основная деятельность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Страна регистрации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Properties Limited (далее – «Компания») была учреждена на Кипре 24 августа 2010 года как частная компания с ограниченной ответственностью в соответствии с Законом о компаниях Кипра, Раздел 113.   Зарегистрированный офис Компании находится по адресу: 18 Spyrou Kyprianou, Office/flat 301, 1075 Nicosia, Cyprus.</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Изменение названия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3427F">
        <w:rPr>
          <w:rFonts w:ascii="Tahoma" w:eastAsia="Times New Roman" w:hAnsi="Tahoma" w:cs="Tahoma"/>
          <w:color w:val="000000"/>
          <w:sz w:val="18"/>
          <w:szCs w:val="18"/>
          <w:lang w:eastAsia="ru-RU" w:bidi="ru-RU"/>
        </w:rPr>
        <w:t xml:space="preserve"> под названием O1 Properties Limited.</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Основная деятельность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Основной деятельностью Компании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и ассоциированные предприятия, которые работают на рынке недвижимости Российской Федерации.</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 Учетная политика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Основные принципы учетной политики, использованные при подготовке данной финансовой отчетности, представлены ниже. Данные принципы применялись последовательно в отношении всех периодов, представленных в настоящей отчетности, если не указано иное.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Основа подготовки финансовой отчетности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подготовила настоящую отдельную финансовую отчетность материнской компании с целью соблюдения требований Закона Кипра о налоге на прибыль.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Данная финансовая отчетность подготовлена в соответствии с Международными стандартами финансовой отчетности (МСФО), принятыми Европейским Союзом (ЕС), и в соответствии с Законом о компаниях Кипра, Раздел 113. Данная финансовая отчетность подготовлена на основе правил учета по первоначальной стоимости, с поправкой на переоценку земли и зданий, инвестиционной собственности, финансовых активов, имеющихся в наличии для продажи, и финансовых активов и финансовых обязательств, оцениваемых по справедливой стоимости, изменения которой отражаются в составе прибыли или убытка.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также подготовила консолидированную финансовую отчетность в соответствии с МСФО по Компан</w:t>
      </w:r>
      <w:proofErr w:type="gramStart"/>
      <w:r w:rsidRPr="0073427F">
        <w:rPr>
          <w:rFonts w:ascii="Tahoma" w:eastAsia="Times New Roman" w:hAnsi="Tahoma" w:cs="Tahoma"/>
          <w:color w:val="000000"/>
          <w:sz w:val="18"/>
          <w:szCs w:val="18"/>
          <w:lang w:eastAsia="ru-RU" w:bidi="ru-RU"/>
        </w:rPr>
        <w:t>ии и ее</w:t>
      </w:r>
      <w:proofErr w:type="gramEnd"/>
      <w:r w:rsidRPr="0073427F">
        <w:rPr>
          <w:rFonts w:ascii="Tahoma" w:eastAsia="Times New Roman" w:hAnsi="Tahoma" w:cs="Tahoma"/>
          <w:color w:val="000000"/>
          <w:sz w:val="18"/>
          <w:szCs w:val="18"/>
          <w:lang w:eastAsia="ru-RU" w:bidi="ru-RU"/>
        </w:rPr>
        <w:t xml:space="preserve"> дочерним предприятиям (далее - «Группа»).  Консолидированную финансовую отчетность можно получить по адресу: 18 Spyrou Kyprianou, Office/flat 301, 1075 Nicosia, Cyprus.</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Пользователи настоящей отдельной финансовой отчетности материнской компании должны читать ее вместе с консолидированной финансовой отчетностью Группы по состоянию на 31 декабря 2012 года и за год, закончившийся на эту дату, чтобы получить надлежащее понимание финансового положения, финансовых результатов и движения денежных средств Компании и Группы.</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br w:type="page"/>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b/>
          <w:color w:val="000000"/>
          <w:sz w:val="18"/>
          <w:szCs w:val="18"/>
          <w:lang w:eastAsia="ru-RU" w:bidi="ru-RU"/>
        </w:rPr>
        <w:t>Основа подготовки финансовой отчетности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Подготовка финансовой отчетности по МСФО требует использования некоторых важных бухгалтерских оценок. Кроме того, руководству необходимо полагаться на свои профессиональные суждения при применении учетной политики Компании. Подготовка финансовой отчетности также требует использование допущений, которые влияют на отражаемые в отчетности суммы активов и обязательств на отчетную дату, а также на отражаемые в отчетности доходы и расходы в течение отчетного периода. Несмотря на то, что такие оценки основаны на имеющейся у руководства информации о текущих событиях и операциях, фактические результаты в конечном итоге могут отличаться от этих оценок. Области, требующие применения профессиональных суждений более высокого уровня или связанные с особой сложностью, а также области, в которых допущения и оценки оказывают существенное влияние на финансовую отчетность, указаны в Примечании 4.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Переход на новые или пересмотренные стандарты и разъяснения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Перечисленные ниже новые МСФО и разъяснения стали обязательными для Компании с 1 января 2012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Раскрытия – Передача финансовых активов – Изменения к МСФО (IFRS) 7 (выпущены в октябре 2010 года и вступают в силу для годовых периодов, начинающихся 1 июля 2011 года или после этой даты).</w:t>
      </w:r>
      <w:r w:rsidRPr="0073427F">
        <w:rPr>
          <w:rFonts w:ascii="Tahoma" w:eastAsia="Times New Roman" w:hAnsi="Tahoma" w:cs="Tahoma"/>
          <w:color w:val="000000"/>
          <w:sz w:val="18"/>
          <w:szCs w:val="18"/>
          <w:lang w:eastAsia="ru-RU" w:bidi="ru-RU"/>
        </w:rPr>
        <w:t xml:space="preserve"> Данное изменение требует дополнительного раскрытия размера риска, возникающего при передаче финансовых активов. Изменение включает требование раскрытия по классам финансовых активов, переданных контрагенту, которые числятся на балансе компании, следующей информации: характер, стоимость, описание рисков и выгод, связанных с активом. Также необходимым является раскрытие, позволяющее пользователю понять размер связанного с активом финансового обязательства, а также взаимосвязь между финансовым активом и связанным с ним финансовым обязательством. В том случае если признание актива было прекращено, однако компания все еще подвержена определенным рискам и способна получить определенные выгоды, связанные с переданным активом, требуется дополнительное раскрытия для понимания пользователем размера такого риска. Данное изменение не оказало воздействие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Прочие пересмотренные стандарты и интерпретации, обязательные для текущего периода.</w:t>
      </w:r>
      <w:r w:rsidRPr="0073427F">
        <w:rPr>
          <w:rFonts w:ascii="Tahoma" w:eastAsia="Times New Roman" w:hAnsi="Tahoma" w:cs="Tahoma"/>
          <w:color w:val="000000"/>
          <w:sz w:val="18"/>
          <w:szCs w:val="18"/>
          <w:lang w:eastAsia="ru-RU" w:bidi="ru-RU"/>
        </w:rPr>
        <w:t xml:space="preserve"> Изменения к МСФО 1 «Первое применение МСФО», относящиеся к высокой гиперинфляции и устраняющие ссылки на фиксированные даты для некоторых обязательных и добровольных исключений, не оказали воздействия на данную финансовую отчетность.</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Новые учетные положения</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Опубликован ряд новых стандартов и разъяснений, которые являются обязательными для годовых периодов, начинающихся 1 января 2013 года или после этой даты, и которые Компания не приняла досрочно: Учетные положения, отмеченные знаком</w:t>
      </w:r>
      <w:proofErr w:type="gramStart"/>
      <w:r w:rsidRPr="0073427F">
        <w:rPr>
          <w:rFonts w:ascii="Tahoma" w:eastAsia="Times New Roman" w:hAnsi="Tahoma" w:cs="Tahoma"/>
          <w:color w:val="000000"/>
          <w:sz w:val="18"/>
          <w:szCs w:val="18"/>
          <w:lang w:eastAsia="ru-RU" w:bidi="ru-RU"/>
        </w:rPr>
        <w:t xml:space="preserve"> (*), </w:t>
      </w:r>
      <w:proofErr w:type="gramEnd"/>
      <w:r w:rsidRPr="0073427F">
        <w:rPr>
          <w:rFonts w:ascii="Tahoma" w:eastAsia="Times New Roman" w:hAnsi="Tahoma" w:cs="Tahoma"/>
          <w:color w:val="000000"/>
          <w:sz w:val="18"/>
          <w:szCs w:val="18"/>
          <w:lang w:eastAsia="ru-RU" w:bidi="ru-RU"/>
        </w:rPr>
        <w:t xml:space="preserve">еще не приняты Европейским союзом. </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МСФО (IFRS) 9 «Финансовые инструменты: Классификация и оценка»*. </w:t>
      </w:r>
      <w:r w:rsidRPr="0073427F">
        <w:rPr>
          <w:rFonts w:ascii="Tahoma" w:eastAsia="Times New Roman" w:hAnsi="Tahoma" w:cs="Tahoma"/>
          <w:color w:val="000000"/>
          <w:sz w:val="18"/>
          <w:szCs w:val="18"/>
          <w:lang w:eastAsia="ru-RU" w:bidi="ru-RU"/>
        </w:rPr>
        <w:t xml:space="preserve"> МСФО 9, </w:t>
      </w:r>
      <w:proofErr w:type="gramStart"/>
      <w:r w:rsidRPr="0073427F">
        <w:rPr>
          <w:rFonts w:ascii="Tahoma" w:eastAsia="Times New Roman" w:hAnsi="Tahoma" w:cs="Tahoma"/>
          <w:color w:val="000000"/>
          <w:sz w:val="18"/>
          <w:szCs w:val="18"/>
          <w:lang w:eastAsia="ru-RU" w:bidi="ru-RU"/>
        </w:rPr>
        <w:t>выпущенный</w:t>
      </w:r>
      <w:proofErr w:type="gramEnd"/>
      <w:r w:rsidRPr="0073427F">
        <w:rPr>
          <w:rFonts w:ascii="Tahoma" w:eastAsia="Times New Roman" w:hAnsi="Tahoma" w:cs="Tahoma"/>
          <w:color w:val="000000"/>
          <w:sz w:val="18"/>
          <w:szCs w:val="18"/>
          <w:lang w:eastAsia="ru-RU" w:bidi="ru-RU"/>
        </w:rPr>
        <w:t xml:space="preserve"> в ноябре 2009 года, заменяет разделы МСФО (IAS) 39, относящиеся к классификации и оценке финансовых активов. </w:t>
      </w:r>
      <w:proofErr w:type="gramStart"/>
      <w:r w:rsidRPr="0073427F">
        <w:rPr>
          <w:rFonts w:ascii="Tahoma" w:eastAsia="Times New Roman" w:hAnsi="Tahoma" w:cs="Tahoma"/>
          <w:color w:val="000000"/>
          <w:sz w:val="18"/>
          <w:szCs w:val="18"/>
          <w:lang w:eastAsia="ru-RU" w:bidi="ru-RU"/>
        </w:rPr>
        <w:t>Дополнительные изменения были внесены в МСФО (IFRS) 9 в октябре 2010 года в отношении классификации и оценки финансовых обязательств и в декабре 2011 года в отношении (i) изменения даты вступления в силу, которая установлена как годовые периоды, начинающиеся 1 января 2015 года или после этой даты, (ii) добавления требования о раскрытии информации о переходе на этот стандарт.</w:t>
      </w:r>
      <w:proofErr w:type="gramEnd"/>
      <w:r w:rsidRPr="0073427F">
        <w:rPr>
          <w:rFonts w:ascii="Tahoma" w:eastAsia="Times New Roman" w:hAnsi="Tahoma" w:cs="Tahoma"/>
          <w:color w:val="000000"/>
          <w:sz w:val="18"/>
          <w:szCs w:val="18"/>
          <w:lang w:eastAsia="ru-RU" w:bidi="ru-RU"/>
        </w:rPr>
        <w:t xml:space="preserve"> Основные отличия стандарта следующие:</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9734" w:type="dxa"/>
        <w:tblInd w:w="39" w:type="dxa"/>
        <w:tblLayout w:type="fixed"/>
        <w:tblCellMar>
          <w:left w:w="39" w:type="dxa"/>
          <w:right w:w="39" w:type="dxa"/>
        </w:tblCellMar>
        <w:tblLook w:val="0000" w:firstRow="0" w:lastRow="0" w:firstColumn="0" w:lastColumn="0" w:noHBand="0" w:noVBand="0"/>
      </w:tblPr>
      <w:tblGrid>
        <w:gridCol w:w="9734"/>
      </w:tblGrid>
      <w:tr w:rsidR="0073427F" w:rsidRPr="0073427F" w:rsidTr="0073427F">
        <w:tc>
          <w:tcPr>
            <w:tcW w:w="973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right="204"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Финансовые активы должны классифицироваться по двум категориям оценки: оцениваемые впоследствии по справедливой стоимости и оцениваемые впоследствии по амортизированной стоимости. Выбор метода оценки должен быть сделан при первоначальном признании. Классификация зависит от </w:t>
            </w:r>
            <w:proofErr w:type="gramStart"/>
            <w:r w:rsidRPr="0073427F">
              <w:rPr>
                <w:rFonts w:ascii="Tahoma" w:eastAsia="Times New Roman" w:hAnsi="Tahoma" w:cs="Tahoma"/>
                <w:color w:val="000000"/>
                <w:sz w:val="18"/>
                <w:szCs w:val="18"/>
                <w:lang w:eastAsia="ru-RU" w:bidi="ru-RU"/>
              </w:rPr>
              <w:t>бизнес-модели</w:t>
            </w:r>
            <w:proofErr w:type="gramEnd"/>
            <w:r w:rsidRPr="0073427F">
              <w:rPr>
                <w:rFonts w:ascii="Tahoma" w:eastAsia="Times New Roman" w:hAnsi="Tahoma" w:cs="Tahoma"/>
                <w:color w:val="000000"/>
                <w:sz w:val="18"/>
                <w:szCs w:val="18"/>
                <w:lang w:eastAsia="ru-RU" w:bidi="ru-RU"/>
              </w:rPr>
              <w:t xml:space="preserve"> управления финансовыми инструментами предприятия и от характеристик договорных потоков денежных средств по инструменту.  </w:t>
            </w:r>
          </w:p>
          <w:p w:rsidR="0073427F" w:rsidRPr="0073427F" w:rsidRDefault="0073427F" w:rsidP="0073427F">
            <w:pPr>
              <w:widowControl w:val="0"/>
              <w:autoSpaceDE w:val="0"/>
              <w:autoSpaceDN w:val="0"/>
              <w:adjustRightInd w:val="0"/>
              <w:spacing w:after="0" w:line="240" w:lineRule="auto"/>
              <w:ind w:right="204"/>
              <w:jc w:val="both"/>
              <w:rPr>
                <w:rFonts w:ascii="Tahoma" w:eastAsia="Times New Roman" w:hAnsi="Tahoma" w:cs="Tahoma"/>
                <w:color w:val="000000"/>
                <w:sz w:val="18"/>
                <w:szCs w:val="18"/>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br w:type="page"/>
      </w:r>
    </w:p>
    <w:tbl>
      <w:tblPr>
        <w:tblW w:w="9734" w:type="dxa"/>
        <w:tblInd w:w="39" w:type="dxa"/>
        <w:tblLayout w:type="fixed"/>
        <w:tblCellMar>
          <w:left w:w="39" w:type="dxa"/>
          <w:right w:w="39" w:type="dxa"/>
        </w:tblCellMar>
        <w:tblLook w:val="0000" w:firstRow="0" w:lastRow="0" w:firstColumn="0" w:lastColumn="0" w:noHBand="0" w:noVBand="0"/>
      </w:tblPr>
      <w:tblGrid>
        <w:gridCol w:w="9734"/>
      </w:tblGrid>
      <w:tr w:rsidR="0073427F" w:rsidRPr="0073427F" w:rsidTr="0073427F">
        <w:tc>
          <w:tcPr>
            <w:tcW w:w="973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Инструмент впоследствии оценивается по амортизированной стоимости только в том случае, когда он является долговым инструментом, а также (</w:t>
            </w:r>
            <w:proofErr w:type="gramStart"/>
            <w:r w:rsidRPr="0073427F">
              <w:rPr>
                <w:rFonts w:ascii="Tahoma" w:eastAsia="Times New Roman" w:hAnsi="Tahoma" w:cs="Tahoma"/>
                <w:color w:val="000000"/>
                <w:sz w:val="18"/>
                <w:szCs w:val="18"/>
                <w:lang w:eastAsia="ru-RU" w:bidi="ru-RU"/>
              </w:rPr>
              <w:t xml:space="preserve">i) </w:t>
            </w:r>
            <w:proofErr w:type="gramEnd"/>
            <w:r w:rsidRPr="0073427F">
              <w:rPr>
                <w:rFonts w:ascii="Tahoma" w:eastAsia="Times New Roman" w:hAnsi="Tahoma" w:cs="Tahoma"/>
                <w:color w:val="000000"/>
                <w:sz w:val="18"/>
                <w:szCs w:val="18"/>
                <w:lang w:eastAsia="ru-RU" w:bidi="ru-RU"/>
              </w:rPr>
              <w:t xml:space="preserve">бизнес-модель предприятия ориентирована на удержание данного актива для целей получения контрактных денежных потоков, и одновременно (ii) контрактные денежные потоки по данному активу представляют собой только выплаты основной суммы и процентов (то есть финансовый инструмент имеет только «базовые характеристики кредита"). Все остальные долговые инструменты должны оцениваться по справедливой стоимости, изменения которой отражаются в составе прибыли или убытка.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Все долевые инструменты должны впоследствии оцениваться по справедливой стоимости. Долевые инструменты, предназначенные для торговли, будут оцениваться по справедливой стоимости, изменения которой отражаются в составе прибыли или убытка. Для остальных инвестиций в долевые инструменты при первоначальном признании может быть принято окончательное решение об отражении нереализованной и реализованной прибыли или убытка от переоценки по справедливой стоимости в составе прочего совокупного дохода, а не в составе прибылей или убытков. Доходы и расходы от переоценки не переносятся на счета прибылей или убытков. Это решение может приниматься индивидуально для каждого финансового инструмента. Дивиденды должны отражаться в составе прибылей и убытков, так как они представляют собой доходность инвестиций.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Большинство требований МСФО (IAS) 39 и в отношении классификации и оценки финансовых обязательств были перенесены в МСФО (IFRS) 9 без изменений. Основным отличием является требование к предприятию раскрывать эффект изменений собственного кредитного риска финансовых обязательств, отнесенных к категории оцениваемых по справедливой стоимости, изменения которой отражаются в составе прибыли или убытка, в составе прочего совокупного дохода.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Принятие МСФО (IFRS) 9 является обязательным с 1 января 2015 года, досрочное применение разрешается. В настоящее время Компания изучает последствия применения стандарта, его воздействие на Компанию и сроки принятия стандарта Компанией.</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734" w:type="dxa"/>
        <w:tblInd w:w="39" w:type="dxa"/>
        <w:tblLayout w:type="fixed"/>
        <w:tblCellMar>
          <w:left w:w="39" w:type="dxa"/>
          <w:right w:w="39" w:type="dxa"/>
        </w:tblCellMar>
        <w:tblLook w:val="0000" w:firstRow="0" w:lastRow="0" w:firstColumn="0" w:lastColumn="0" w:noHBand="0" w:noVBand="0"/>
      </w:tblPr>
      <w:tblGrid>
        <w:gridCol w:w="9734"/>
      </w:tblGrid>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b/>
                <w:i/>
                <w:color w:val="000000"/>
                <w:sz w:val="18"/>
                <w:szCs w:val="18"/>
                <w:lang w:eastAsia="ru-RU" w:bidi="ru-RU"/>
              </w:rPr>
              <w:t>МСФО 10 «Консолидированная финансовая отчетность» (выпущен в мае 2011 года и вступает в силу для годовых периодов, начинающихся 1 января 2014 года или после этой даты)</w:t>
            </w:r>
            <w:r w:rsidRPr="0073427F">
              <w:rPr>
                <w:rFonts w:ascii="Tahoma" w:eastAsia="Times New Roman" w:hAnsi="Tahoma" w:cs="Tahoma"/>
                <w:color w:val="000000"/>
                <w:sz w:val="18"/>
                <w:szCs w:val="18"/>
                <w:lang w:eastAsia="ru-RU" w:bidi="ru-RU"/>
              </w:rPr>
              <w:t xml:space="preserve"> заменяет все положения руководства по вопросам контроля и консолидации, приведенные в МСФО (IAS) 27 «Консолидированная и отдельная финансовая отчетность» и Разъяснение ПКР (SIC) 12 «Консолидация - предприятия специального назначения».</w:t>
            </w:r>
            <w:proofErr w:type="gramEnd"/>
            <w:r w:rsidRPr="0073427F">
              <w:rPr>
                <w:rFonts w:ascii="Tahoma" w:eastAsia="Times New Roman" w:hAnsi="Tahoma" w:cs="Tahoma"/>
                <w:color w:val="000000"/>
                <w:sz w:val="18"/>
                <w:szCs w:val="18"/>
                <w:lang w:eastAsia="ru-RU" w:bidi="ru-RU"/>
              </w:rPr>
              <w:t xml:space="preserve"> МСФО (IFRS) 10 вносит изменения в определение контроля на основе применения одинаковых критериев ко всем компаниям. Определение подкреплено подробным руководством по практическому применению. В настоящее время Компания проводит оценку влияния нового стандарта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МСФО 11 «Соглашения о совместной деятельности» (</w:t>
            </w:r>
            <w:proofErr w:type="gramStart"/>
            <w:r w:rsidRPr="0073427F">
              <w:rPr>
                <w:rFonts w:ascii="Tahoma" w:eastAsia="Times New Roman" w:hAnsi="Tahoma" w:cs="Tahoma"/>
                <w:b/>
                <w:i/>
                <w:color w:val="000000"/>
                <w:sz w:val="18"/>
                <w:szCs w:val="18"/>
                <w:lang w:eastAsia="ru-RU" w:bidi="ru-RU"/>
              </w:rPr>
              <w:t>выпущен</w:t>
            </w:r>
            <w:proofErr w:type="gramEnd"/>
            <w:r w:rsidRPr="0073427F">
              <w:rPr>
                <w:rFonts w:ascii="Tahoma" w:eastAsia="Times New Roman" w:hAnsi="Tahoma" w:cs="Tahoma"/>
                <w:b/>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w:t>
            </w:r>
            <w:r w:rsidRPr="0073427F">
              <w:rPr>
                <w:rFonts w:ascii="Tahoma" w:eastAsia="Times New Roman" w:hAnsi="Tahoma" w:cs="Tahoma"/>
                <w:color w:val="000000"/>
                <w:sz w:val="18"/>
                <w:szCs w:val="18"/>
                <w:lang w:eastAsia="ru-RU" w:bidi="ru-RU"/>
              </w:rPr>
              <w:t xml:space="preserve"> заменяет МСФО (IAS) 31 «Участие в совместной деятельности» и ПКИ 13 «Совместно контролируемые предприятия – немонетарные вклады участников». Благодаря изменениям в определениях количество видов совместной деятельности сократилось до двух: совместные операции и совместные предприятия. Для совместных предприятий отменена существовавшая ранее возможность учета по методу пропорциональной консолидации. Участники совместного предприятия обязаны применять метод долевого участия. Компания считает, что данные изменения не окажут существенного воздействия на ее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МСФО (IFRS) 12 «Раскрытие информации об участии в других предприятиях» (выпущен в мае 2011 года и вступает в силу для годовых периодов, начинающихся 1 января 2014 года или после этой даты</w:t>
            </w:r>
            <w:proofErr w:type="gramStart"/>
            <w:r w:rsidRPr="0073427F">
              <w:rPr>
                <w:rFonts w:ascii="Tahoma" w:eastAsia="Times New Roman" w:hAnsi="Tahoma" w:cs="Tahoma"/>
                <w:b/>
                <w:i/>
                <w:color w:val="000000"/>
                <w:sz w:val="18"/>
                <w:szCs w:val="18"/>
                <w:lang w:eastAsia="ru-RU" w:bidi="ru-RU"/>
              </w:rPr>
              <w:t>)</w:t>
            </w:r>
            <w:r w:rsidRPr="0073427F">
              <w:rPr>
                <w:rFonts w:ascii="Tahoma" w:eastAsia="Times New Roman" w:hAnsi="Tahoma" w:cs="Tahoma"/>
                <w:color w:val="000000"/>
                <w:sz w:val="18"/>
                <w:szCs w:val="18"/>
                <w:lang w:eastAsia="ru-RU" w:bidi="ru-RU"/>
              </w:rPr>
              <w:t>п</w:t>
            </w:r>
            <w:proofErr w:type="gramEnd"/>
            <w:r w:rsidRPr="0073427F">
              <w:rPr>
                <w:rFonts w:ascii="Tahoma" w:eastAsia="Times New Roman" w:hAnsi="Tahoma" w:cs="Tahoma"/>
                <w:color w:val="000000"/>
                <w:sz w:val="18"/>
                <w:szCs w:val="18"/>
                <w:lang w:eastAsia="ru-RU" w:bidi="ru-RU"/>
              </w:rPr>
              <w:t>рименяется к предприятиям, у которых есть доли участия в дочерних, ассоциированных предприятиях, совместной деятельности или неконсолидируемых структурированных предприятиях. Стандарт замещает требования к раскрытию информации, которые в настоящее время предусматриваются МСФО (IAS) 28 «Инвестиции в ассоциированные предприятия». МСФО (IFRS) 12 требует раскрытия информации, которая поможет пользователям финансовой отчетности оценить характер, риски и финансовые последствия, связанные с долями участия в дочерних и ассоциированных предприятиях, соглашениях о совместной деятельности и неконсолидируемых структурированных предприятиях.</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Для соответствия новым требованиям компании должны раскрывать следующее: существенные суждения и допущения при определении контроля, совместного контроля или значительного влияния на другие компании, развернутые раскрытия в отношении доли, не обеспечивающей контроль, в деятельности и в денежных потоках Компании, обобщенную информацию о дочерних предприятиях с существенными долями неконтролирующих акционеров и детальные раскрытия информации в отношении неконсолидируемых структурированных компаний.</w:t>
            </w:r>
            <w:proofErr w:type="gramEnd"/>
            <w:r w:rsidRPr="0073427F">
              <w:rPr>
                <w:rFonts w:ascii="Tahoma" w:eastAsia="Times New Roman" w:hAnsi="Tahoma" w:cs="Tahoma"/>
                <w:color w:val="000000"/>
                <w:sz w:val="18"/>
                <w:szCs w:val="18"/>
                <w:lang w:eastAsia="ru-RU" w:bidi="ru-RU"/>
              </w:rPr>
              <w:t xml:space="preserve"> Компания считает, что данные изменения не окажут существенного воздействия на ее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МСФО 13 «Оценка по справедливой стоимости» (выпущен в мае 2011 года и вступает в силу для годовых периодов, начинающихся 1 января 2013 года или после этой даты</w:t>
            </w:r>
            <w:proofErr w:type="gramStart"/>
            <w:r w:rsidRPr="0073427F">
              <w:rPr>
                <w:rFonts w:ascii="Tahoma" w:eastAsia="Times New Roman" w:hAnsi="Tahoma" w:cs="Tahoma"/>
                <w:b/>
                <w:i/>
                <w:color w:val="000000"/>
                <w:sz w:val="18"/>
                <w:szCs w:val="18"/>
                <w:lang w:eastAsia="ru-RU" w:bidi="ru-RU"/>
              </w:rPr>
              <w:t>)</w:t>
            </w:r>
            <w:r w:rsidRPr="0073427F">
              <w:rPr>
                <w:rFonts w:ascii="Tahoma" w:eastAsia="Times New Roman" w:hAnsi="Tahoma" w:cs="Tahoma"/>
                <w:color w:val="000000"/>
                <w:sz w:val="18"/>
                <w:szCs w:val="18"/>
                <w:lang w:eastAsia="ru-RU" w:bidi="ru-RU"/>
              </w:rPr>
              <w:t>н</w:t>
            </w:r>
            <w:proofErr w:type="gramEnd"/>
            <w:r w:rsidRPr="0073427F">
              <w:rPr>
                <w:rFonts w:ascii="Tahoma" w:eastAsia="Times New Roman" w:hAnsi="Tahoma" w:cs="Tahoma"/>
                <w:color w:val="000000"/>
                <w:sz w:val="18"/>
                <w:szCs w:val="18"/>
                <w:lang w:eastAsia="ru-RU" w:bidi="ru-RU"/>
              </w:rPr>
              <w:t>аправлен на улучшение сопоставимости и повышения качества раскрытия информации о справедливой стоимости, так как требует применения единого для МСФО определения справедливой стоимости, требований по раскрытию информации и источников оценки справедливой стоимости. В настоящее время Компания проводит оценку того, как данный пересмотренный стандарт повлияет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r w:rsidRPr="0073427F">
              <w:rPr>
                <w:rFonts w:ascii="Tahoma" w:eastAsia="Times New Roman" w:hAnsi="Tahoma" w:cs="Tahoma"/>
                <w:b/>
                <w:i/>
                <w:color w:val="000000"/>
                <w:sz w:val="18"/>
                <w:szCs w:val="18"/>
                <w:lang w:eastAsia="ru-RU" w:bidi="ru-RU"/>
              </w:rPr>
              <w:t>МСФО (IAS) 27 «Отдельная финансовая отчетность» (</w:t>
            </w:r>
            <w:proofErr w:type="gramStart"/>
            <w:r w:rsidRPr="0073427F">
              <w:rPr>
                <w:rFonts w:ascii="Tahoma" w:eastAsia="Times New Roman" w:hAnsi="Tahoma" w:cs="Tahoma"/>
                <w:b/>
                <w:i/>
                <w:color w:val="000000"/>
                <w:sz w:val="18"/>
                <w:szCs w:val="18"/>
                <w:lang w:eastAsia="ru-RU" w:bidi="ru-RU"/>
              </w:rPr>
              <w:t>пересмотрен</w:t>
            </w:r>
            <w:proofErr w:type="gramEnd"/>
            <w:r w:rsidRPr="0073427F">
              <w:rPr>
                <w:rFonts w:ascii="Tahoma" w:eastAsia="Times New Roman" w:hAnsi="Tahoma" w:cs="Tahoma"/>
                <w:b/>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w:t>
            </w:r>
            <w:r w:rsidRPr="0073427F">
              <w:rPr>
                <w:rFonts w:ascii="Tahoma" w:eastAsia="Times New Roman" w:hAnsi="Tahoma" w:cs="Tahoma"/>
                <w:color w:val="000000"/>
                <w:sz w:val="18"/>
                <w:szCs w:val="18"/>
                <w:lang w:eastAsia="ru-RU" w:bidi="ru-RU"/>
              </w:rPr>
              <w:t>. Данный стандарт был изменен, и в настоящее время его задачей является установление требований к учету и раскрытию информации для инвестиций в дочерние предприятия, совместные предприятия или ассоциированные предприятия при подготовке отдельной финансовой отчетности. Руководство о контроле и консолидированной финансовой отчетности было заменено МСФО 10 «Консолидированная финансовая отчетность». В настоящее время Компания проводит оценку того, как данный пересмотренный стандарт повлияет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МСФО (IAS) 28 «Инвестиции в ассоциированные и совместные предприятия» (</w:t>
            </w:r>
            <w:proofErr w:type="gramStart"/>
            <w:r w:rsidRPr="0073427F">
              <w:rPr>
                <w:rFonts w:ascii="Tahoma" w:eastAsia="Times New Roman" w:hAnsi="Tahoma" w:cs="Tahoma"/>
                <w:b/>
                <w:i/>
                <w:color w:val="000000"/>
                <w:sz w:val="18"/>
                <w:szCs w:val="18"/>
                <w:lang w:eastAsia="ru-RU" w:bidi="ru-RU"/>
              </w:rPr>
              <w:t>пересмотрен</w:t>
            </w:r>
            <w:proofErr w:type="gramEnd"/>
            <w:r w:rsidRPr="0073427F">
              <w:rPr>
                <w:rFonts w:ascii="Tahoma" w:eastAsia="Times New Roman" w:hAnsi="Tahoma" w:cs="Tahoma"/>
                <w:b/>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w:t>
            </w:r>
            <w:r w:rsidRPr="0073427F">
              <w:rPr>
                <w:rFonts w:ascii="Tahoma" w:eastAsia="Times New Roman" w:hAnsi="Tahoma" w:cs="Tahoma"/>
                <w:color w:val="000000"/>
                <w:sz w:val="18"/>
                <w:szCs w:val="18"/>
                <w:lang w:eastAsia="ru-RU" w:bidi="ru-RU"/>
              </w:rPr>
              <w:t xml:space="preserve"> Данное изменение МСФО (IAS) 28 было разработано в результате выполнения проекта Правления КМСФО по вопросам учета совместной деятельности. В </w:t>
            </w:r>
            <w:proofErr w:type="gramStart"/>
            <w:r w:rsidRPr="0073427F">
              <w:rPr>
                <w:rFonts w:ascii="Tahoma" w:eastAsia="Times New Roman" w:hAnsi="Tahoma" w:cs="Tahoma"/>
                <w:color w:val="000000"/>
                <w:sz w:val="18"/>
                <w:szCs w:val="18"/>
                <w:lang w:eastAsia="ru-RU" w:bidi="ru-RU"/>
              </w:rPr>
              <w:t>процессе</w:t>
            </w:r>
            <w:proofErr w:type="gramEnd"/>
            <w:r w:rsidRPr="0073427F">
              <w:rPr>
                <w:rFonts w:ascii="Tahoma" w:eastAsia="Times New Roman" w:hAnsi="Tahoma" w:cs="Tahoma"/>
                <w:color w:val="000000"/>
                <w:sz w:val="18"/>
                <w:szCs w:val="18"/>
                <w:lang w:eastAsia="ru-RU" w:bidi="ru-RU"/>
              </w:rPr>
              <w:t xml:space="preserve"> обсуждения данного проекта Правление КМСФО приняло решение о внесении учета деятельности совместных предприятий по долевому методу в МСФО (IAS) 28, так как этот метод применим как к совместным предприятиям, так и к ассоциированным предприятиям. Руководства по остальным вопросам, за исключением указанного выше, остались без изменений. В настоящее время Компания проводит оценку того, как данный пересмотренный стандарт повлияет на финансовую отчетность.</w:t>
            </w:r>
          </w:p>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Изменения к МСФО (IAS) 1 «Представление финансовой отчетности» (выпущены в июне 2011 и вступают в силу для годовых периодов, начинающихся с 1июля 2012 года или после этой даты)</w:t>
            </w:r>
            <w:r w:rsidRPr="0073427F">
              <w:rPr>
                <w:rFonts w:ascii="Tahoma" w:eastAsia="Times New Roman" w:hAnsi="Tahoma" w:cs="Tahoma"/>
                <w:color w:val="000000"/>
                <w:sz w:val="18"/>
                <w:szCs w:val="18"/>
                <w:lang w:eastAsia="ru-RU" w:bidi="ru-RU"/>
              </w:rPr>
              <w:t xml:space="preserve"> вносят изменения в раскрытие статей, представленных в составе прочего совокупного дохода. Согласно данным изменениям компании обязаны подразделять статьи, представленные в составе прочего совокупного дохода, на две категории, исходя из того, могут ли эти статьи быть переклассифицированы в прибыли и убытки в будущем. Предложенное в МСФО (IAS) 1 название отчета теперь изменено на «Отчет о прибыли или убытке и прочем совокупном доходе». Компания считает, что данные изменения не окажут существенного воздействия на ее финансовую отчетность.</w:t>
            </w:r>
          </w:p>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b/>
                <w:i/>
                <w:color w:val="000000"/>
                <w:sz w:val="18"/>
                <w:szCs w:val="18"/>
                <w:lang w:eastAsia="ru-RU" w:bidi="ru-RU"/>
              </w:rPr>
              <w:t>Пересмотренный МСФО (IAS) 19 «Вознаграждения работникам» (выпущен в июне 2011 и вступает в силу для к периодов, начинающихся 1 января 2013 года или после этой даты)</w:t>
            </w:r>
            <w:r w:rsidRPr="0073427F">
              <w:rPr>
                <w:rFonts w:ascii="Tahoma" w:eastAsia="Times New Roman" w:hAnsi="Tahoma" w:cs="Tahoma"/>
                <w:color w:val="000000"/>
                <w:sz w:val="18"/>
                <w:szCs w:val="18"/>
                <w:lang w:eastAsia="ru-RU" w:bidi="ru-RU"/>
              </w:rPr>
              <w:t xml:space="preserve"> вносит значительные изменения в порядок признания и оценки расходов по пенсионному плану с установленными выплатами и выходных пособий, а также значительно меняет требования к раскрытию информации обо всех видах вознаграждений работникам.</w:t>
            </w:r>
            <w:proofErr w:type="gramEnd"/>
            <w:r w:rsidRPr="0073427F">
              <w:rPr>
                <w:rFonts w:ascii="Tahoma" w:eastAsia="Times New Roman" w:hAnsi="Tahoma" w:cs="Tahoma"/>
                <w:color w:val="000000"/>
                <w:sz w:val="18"/>
                <w:szCs w:val="18"/>
                <w:lang w:eastAsia="ru-RU" w:bidi="ru-RU"/>
              </w:rPr>
              <w:t xml:space="preserve"> Данный стандарт требует признания всех изменений в чистых обязательствах (активах) по пенсионному плану с установленными выплатами в момент их возникновения следующим образом: (i) стоимость услуг и чистый процентный доход отражаются в прибыли или убытке; а (ii) переоценка - в прочем совокупном доходе. Компания считает, что данные изменения не окажут существенного воздействия на ее финансовую отчетность.</w:t>
            </w:r>
          </w:p>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right="147"/>
              <w:jc w:val="both"/>
              <w:rPr>
                <w:rFonts w:ascii="Tahoma" w:eastAsia="Times New Roman" w:hAnsi="Tahoma" w:cs="Tahoma"/>
                <w:color w:val="000000"/>
                <w:sz w:val="18"/>
                <w:szCs w:val="18"/>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30"/>
          <w:footerReference w:type="default" r:id="rId31"/>
          <w:pgSz w:w="11952" w:h="16848"/>
          <w:pgMar w:top="1021" w:right="1190" w:bottom="1021" w:left="1418" w:header="720" w:footer="720" w:gutter="0"/>
          <w:cols w:space="720"/>
          <w:noEndnote/>
        </w:sectPr>
      </w:pPr>
    </w:p>
    <w:tbl>
      <w:tblPr>
        <w:tblW w:w="0" w:type="auto"/>
        <w:tblInd w:w="39" w:type="dxa"/>
        <w:tblLayout w:type="fixed"/>
        <w:tblCellMar>
          <w:left w:w="39" w:type="dxa"/>
          <w:right w:w="39" w:type="dxa"/>
        </w:tblCellMar>
        <w:tblLook w:val="0000" w:firstRow="0" w:lastRow="0" w:firstColumn="0" w:lastColumn="0" w:noHBand="0" w:noVBand="0"/>
      </w:tblPr>
      <w:tblGrid>
        <w:gridCol w:w="9734"/>
      </w:tblGrid>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«Раскрытия – Взаимозачет финансовых активов и финансовых обязательств» – Изменения к МСФО (IFRS) 7 (выпущено в декабре 2011 года и вступает в силу для годовых периодов, начинающихся 1 января 2013 года или после этой даты). </w:t>
            </w:r>
            <w:r w:rsidRPr="0073427F">
              <w:rPr>
                <w:rFonts w:ascii="Tahoma" w:eastAsia="Times New Roman" w:hAnsi="Tahoma" w:cs="Tahoma"/>
                <w:color w:val="000000"/>
                <w:sz w:val="18"/>
                <w:szCs w:val="18"/>
                <w:lang w:eastAsia="ru-RU" w:bidi="ru-RU"/>
              </w:rPr>
              <w:t xml:space="preserve"> Данное изменение требует раскрытия, которое позволит пользователям финансовой отчетности компании оценить воздействие или потенциальное воздействие соглашений о взаимозачете, включая права на зачет. Данное изменение окажет воздействия на раскрытие информации, но не окажет воздействие на оценку и признание финансовых инструментов.</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«Взаимозачет финансовых активов и финансовых обязательств» - Поправки к МСФО (IAS) 32 (выпущены в декабре 2011 года и вступают в силу для годовых периодов, начинающихся 1 января 2014 года или после этой даты).</w:t>
            </w:r>
            <w:r w:rsidRPr="0073427F">
              <w:rPr>
                <w:rFonts w:ascii="Tahoma" w:eastAsia="Times New Roman" w:hAnsi="Tahoma" w:cs="Tahoma"/>
                <w:color w:val="000000"/>
                <w:sz w:val="18"/>
                <w:szCs w:val="18"/>
                <w:lang w:eastAsia="ru-RU" w:bidi="ru-RU"/>
              </w:rPr>
              <w:t xml:space="preserve"> Данная поправка вводит руководство по применению МСФО (IAS) 32 с целью устранения противоречий, выявленных при применении некоторых критериев взаимозачета. Это включает разъяснение значения выражения «в настоящее время имеет законодательно установленное право на зачет» и того, что некоторые системы с расчетом на нетто основе могут считаться эквивалентными системам с расчетом на валовой основе. В настоящее время Компания анализирует последствия применения изменения, его влияние на Компанию и сроки его принятия Компанией.</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Усовершенствования Международных стандартов финансовой отчетности (выпущены в мае 2012 года и вступают в силу с 1 января 2013 года). </w:t>
            </w:r>
            <w:r w:rsidRPr="0073427F">
              <w:rPr>
                <w:rFonts w:ascii="Tahoma" w:eastAsia="Times New Roman" w:hAnsi="Tahoma" w:cs="Tahoma"/>
                <w:color w:val="000000"/>
                <w:sz w:val="18"/>
                <w:szCs w:val="18"/>
                <w:lang w:eastAsia="ru-RU" w:bidi="ru-RU"/>
              </w:rPr>
              <w:t xml:space="preserve"> Усовершенствования представляют собой изменения в пяти стандартах. </w:t>
            </w:r>
            <w:proofErr w:type="gramStart"/>
            <w:r w:rsidRPr="0073427F">
              <w:rPr>
                <w:rFonts w:ascii="Tahoma" w:eastAsia="Times New Roman" w:hAnsi="Tahoma" w:cs="Tahoma"/>
                <w:color w:val="000000"/>
                <w:sz w:val="18"/>
                <w:szCs w:val="18"/>
                <w:lang w:eastAsia="ru-RU" w:bidi="ru-RU"/>
              </w:rPr>
              <w:t>Пересмотренный МСФО (IFRS) 1 (i) уточняет, что предприятие, возобновляющее подготовку финансовой отчетности по МСФО, может или повторно применить МСФО (IFRS) 1, или применить все МСФО ретроспективно, как если бы оно не прекращало их применение, и (ii) добавляет исключение из ретроспективного применения МСФО (IAS) 23 «Затраты по займам» для предприятий, впервые составляющих отчетность по МСФО.</w:t>
            </w:r>
            <w:proofErr w:type="gramEnd"/>
            <w:r w:rsidRPr="0073427F">
              <w:rPr>
                <w:rFonts w:ascii="Tahoma" w:eastAsia="Times New Roman" w:hAnsi="Tahoma" w:cs="Tahoma"/>
                <w:color w:val="000000"/>
                <w:sz w:val="18"/>
                <w:szCs w:val="18"/>
                <w:lang w:eastAsia="ru-RU" w:bidi="ru-RU"/>
              </w:rPr>
              <w:t xml:space="preserve"> </w:t>
            </w:r>
            <w:proofErr w:type="gramStart"/>
            <w:r w:rsidRPr="0073427F">
              <w:rPr>
                <w:rFonts w:ascii="Tahoma" w:eastAsia="Times New Roman" w:hAnsi="Tahoma" w:cs="Tahoma"/>
                <w:color w:val="000000"/>
                <w:sz w:val="18"/>
                <w:szCs w:val="18"/>
                <w:lang w:eastAsia="ru-RU" w:bidi="ru-RU"/>
              </w:rPr>
              <w:t>Пересмотренный МСФО (IAS) 1 уточняет, что представлять примечания к финансовой отчетности для обоснования третьего бухгалтерского баланса, представленного на начало предыдущего периода необязательно в тех случаях, когда он представляется в связи с тем, что испытал серьезное воздействие ретроспективного пересчета, изменений в учетной политике или реклассификации для целей представления финансовой отчетности, при этом примечания необходимы в тех случаях, когда предприятие на добровольной</w:t>
            </w:r>
            <w:proofErr w:type="gramEnd"/>
            <w:r w:rsidRPr="0073427F">
              <w:rPr>
                <w:rFonts w:ascii="Tahoma" w:eastAsia="Times New Roman" w:hAnsi="Tahoma" w:cs="Tahoma"/>
                <w:color w:val="000000"/>
                <w:sz w:val="18"/>
                <w:szCs w:val="18"/>
                <w:lang w:eastAsia="ru-RU" w:bidi="ru-RU"/>
              </w:rPr>
              <w:t xml:space="preserve"> основе представляет дополнительную сравнительную отчетность.  </w:t>
            </w:r>
            <w:proofErr w:type="gramStart"/>
            <w:r w:rsidRPr="0073427F">
              <w:rPr>
                <w:rFonts w:ascii="Tahoma" w:eastAsia="Times New Roman" w:hAnsi="Tahoma" w:cs="Tahoma"/>
                <w:color w:val="000000"/>
                <w:sz w:val="18"/>
                <w:szCs w:val="18"/>
                <w:lang w:eastAsia="ru-RU" w:bidi="ru-RU"/>
              </w:rPr>
              <w:t>Пересмотренный</w:t>
            </w:r>
            <w:proofErr w:type="gramEnd"/>
            <w:r w:rsidRPr="0073427F">
              <w:rPr>
                <w:rFonts w:ascii="Tahoma" w:eastAsia="Times New Roman" w:hAnsi="Tahoma" w:cs="Tahoma"/>
                <w:color w:val="000000"/>
                <w:sz w:val="18"/>
                <w:szCs w:val="18"/>
                <w:lang w:eastAsia="ru-RU" w:bidi="ru-RU"/>
              </w:rPr>
              <w:t xml:space="preserve"> МСФО (IAS) 16 разъясняет, что сервисное оборудование, используемое более одного периода, классифицируется в составе основных средств, а не в составе запасов. </w:t>
            </w:r>
            <w:proofErr w:type="gramStart"/>
            <w:r w:rsidRPr="0073427F">
              <w:rPr>
                <w:rFonts w:ascii="Tahoma" w:eastAsia="Times New Roman" w:hAnsi="Tahoma" w:cs="Tahoma"/>
                <w:color w:val="000000"/>
                <w:sz w:val="18"/>
                <w:szCs w:val="18"/>
                <w:lang w:eastAsia="ru-RU" w:bidi="ru-RU"/>
              </w:rPr>
              <w:t>Пересмотренный</w:t>
            </w:r>
            <w:proofErr w:type="gramEnd"/>
            <w:r w:rsidRPr="0073427F">
              <w:rPr>
                <w:rFonts w:ascii="Tahoma" w:eastAsia="Times New Roman" w:hAnsi="Tahoma" w:cs="Tahoma"/>
                <w:color w:val="000000"/>
                <w:sz w:val="18"/>
                <w:szCs w:val="18"/>
                <w:lang w:eastAsia="ru-RU" w:bidi="ru-RU"/>
              </w:rPr>
              <w:t xml:space="preserve"> МСФО (IAS) 32 разъясняет, что определенные налоговые последствия распределения средств собственникам должны отражаться в отчете о прибыли и убытке, как это всегда требовалось в соответствии с МСФО (IAS) 12. Требования пересмотренного МСФО (IAS) 34 были приведены в соответствие в соответствие с МСФО (IFRS) 8. В МСФО (IAS) 34 указывается, что оценка общей суммы активов и обязатель</w:t>
            </w:r>
            <w:proofErr w:type="gramStart"/>
            <w:r w:rsidRPr="0073427F">
              <w:rPr>
                <w:rFonts w:ascii="Tahoma" w:eastAsia="Times New Roman" w:hAnsi="Tahoma" w:cs="Tahoma"/>
                <w:color w:val="000000"/>
                <w:sz w:val="18"/>
                <w:szCs w:val="18"/>
                <w:lang w:eastAsia="ru-RU" w:bidi="ru-RU"/>
              </w:rPr>
              <w:t>ств дл</w:t>
            </w:r>
            <w:proofErr w:type="gramEnd"/>
            <w:r w:rsidRPr="0073427F">
              <w:rPr>
                <w:rFonts w:ascii="Tahoma" w:eastAsia="Times New Roman" w:hAnsi="Tahoma" w:cs="Tahoma"/>
                <w:color w:val="000000"/>
                <w:sz w:val="18"/>
                <w:szCs w:val="18"/>
                <w:lang w:eastAsia="ru-RU" w:bidi="ru-RU"/>
              </w:rPr>
              <w:t>я операционного сегмента необходима только в тех случаях, когда такая информация регулярно предоставляется лицу или органу, ответственному за принятие операционных решений, и также имело место существенное изменение в оценках с момента подготовки последней годовой консолидированной финансовой отчетности. В настоящее время Компания проводит оценку того, как данные поправки повлияют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Поправки к Руководству по переходным положениям к МСФО (IFRS) 10, МСФО (IFRS) 11 и МСФО (IFRS) 12 (выпущены в июне 2012 года и вступают в силу для годовых периодов, начинающихся 1 января 2013 года).</w:t>
            </w:r>
            <w:r w:rsidRPr="0073427F">
              <w:rPr>
                <w:rFonts w:ascii="Tahoma" w:eastAsia="Times New Roman" w:hAnsi="Tahoma" w:cs="Tahoma"/>
                <w:color w:val="000000"/>
                <w:sz w:val="18"/>
                <w:szCs w:val="18"/>
                <w:lang w:eastAsia="ru-RU" w:bidi="ru-RU"/>
              </w:rPr>
              <w:t xml:space="preserve"> Данные поправки содержат разъяснения по руководству по переходным положениям в МСФО (IFRS) 1 «Консолидированная финансовая отчетность». </w:t>
            </w:r>
            <w:proofErr w:type="gramStart"/>
            <w:r w:rsidRPr="0073427F">
              <w:rPr>
                <w:rFonts w:ascii="Tahoma" w:eastAsia="Times New Roman" w:hAnsi="Tahoma" w:cs="Tahoma"/>
                <w:color w:val="000000"/>
                <w:sz w:val="18"/>
                <w:szCs w:val="18"/>
                <w:lang w:eastAsia="ru-RU" w:bidi="ru-RU"/>
              </w:rPr>
              <w:t>Предприятия, переходящие на МСФО (IFRS) 10, должны оценить контроль на первый день того годового периода, в котором был принят МСФО (IFRS) 10, и, если решение о выполнении консолидации по МСФО (IFRS) 10 отличается от решения по МСФО (IAS) 27 и ПКР (SIC) 12, то данные предыдущего сравнительного периода (т.е. 2012 года для предприятий, финансовый год которых соответствует календарному, если</w:t>
            </w:r>
            <w:proofErr w:type="gramEnd"/>
            <w:r w:rsidRPr="0073427F">
              <w:rPr>
                <w:rFonts w:ascii="Tahoma" w:eastAsia="Times New Roman" w:hAnsi="Tahoma" w:cs="Tahoma"/>
                <w:color w:val="000000"/>
                <w:sz w:val="18"/>
                <w:szCs w:val="18"/>
                <w:lang w:eastAsia="ru-RU" w:bidi="ru-RU"/>
              </w:rPr>
              <w:t xml:space="preserve"> они применяют МСФО 10 в 2013 году) должны быть скорректированы, за исключением случаев, когда это практически невозможно. Эти поправки также предоставляют дополнительное освобождение на время периода перехода на МСФО (IFRS) 10, МСФО (IFRS) 11 «Совместная деятельность» и МСФО (IFRS) 12 «Раскрытие информации о долях участия в других предприятиях» путем ограничения </w:t>
            </w:r>
            <w:proofErr w:type="gramStart"/>
            <w:r w:rsidRPr="0073427F">
              <w:rPr>
                <w:rFonts w:ascii="Tahoma" w:eastAsia="Times New Roman" w:hAnsi="Tahoma" w:cs="Tahoma"/>
                <w:color w:val="000000"/>
                <w:sz w:val="18"/>
                <w:szCs w:val="18"/>
                <w:lang w:eastAsia="ru-RU" w:bidi="ru-RU"/>
              </w:rPr>
              <w:t>требований</w:t>
            </w:r>
            <w:proofErr w:type="gramEnd"/>
            <w:r w:rsidRPr="0073427F">
              <w:rPr>
                <w:rFonts w:ascii="Tahoma" w:eastAsia="Times New Roman" w:hAnsi="Tahoma" w:cs="Tahoma"/>
                <w:color w:val="000000"/>
                <w:sz w:val="18"/>
                <w:szCs w:val="18"/>
                <w:lang w:eastAsia="ru-RU" w:bidi="ru-RU"/>
              </w:rPr>
              <w:t xml:space="preserve"> по предоставлению скорректированной сравнительных данных только за предыдущий сравнительный период. Кроме того, в результате внесения поправок отменено требование о представлении сравнительных данных в рамках раскрытия информации, относящейся к неконсолидированным структурированным предприятиям для периодов, предшествовавших применению МСФО (IFRS) 12. В настоящее время Компания проводит оценку того, как данные поправки повлияют на финансовую отчетность.</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32"/>
          <w:footerReference w:type="default" r:id="rId33"/>
          <w:pgSz w:w="11952" w:h="16848"/>
          <w:pgMar w:top="1021" w:right="1190" w:bottom="1021" w:left="1418" w:header="720" w:footer="720" w:gutter="0"/>
          <w:cols w:space="720"/>
          <w:noEndnote/>
        </w:sectPr>
      </w:pPr>
    </w:p>
    <w:tbl>
      <w:tblPr>
        <w:tblW w:w="0" w:type="auto"/>
        <w:tblInd w:w="39" w:type="dxa"/>
        <w:tblLayout w:type="fixed"/>
        <w:tblCellMar>
          <w:left w:w="39" w:type="dxa"/>
          <w:right w:w="39" w:type="dxa"/>
        </w:tblCellMar>
        <w:tblLook w:val="0000" w:firstRow="0" w:lastRow="0" w:firstColumn="0" w:lastColumn="0" w:noHBand="0" w:noVBand="0"/>
      </w:tblPr>
      <w:tblGrid>
        <w:gridCol w:w="9734"/>
      </w:tblGrid>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Изменения к МСФО (IFRS) 10, МСФО (IFRS) 12 и МСФО (IAS) 27 – «Инвестиционные предприятия»* (выпущены 31 октября 2012 года и вступают в силу для годовых периодов, начинающихся 1 января 2014 года). </w:t>
            </w:r>
            <w:r w:rsidRPr="0073427F">
              <w:rPr>
                <w:rFonts w:ascii="Tahoma" w:eastAsia="Times New Roman" w:hAnsi="Tahoma" w:cs="Tahoma"/>
                <w:color w:val="000000"/>
                <w:sz w:val="18"/>
                <w:szCs w:val="18"/>
                <w:lang w:eastAsia="ru-RU" w:bidi="ru-RU"/>
              </w:rPr>
              <w:t xml:space="preserve"> Эта поправка вводит определение инвестиционного предприятия как предприятия, которое (i) получает средства от инвесторов для цели предоставления им услуг по управлению инвестициями; (ii) принимает на себя перед своими инвесторами обязательство в том, что целью ее бизнеса является инвестирование средств исключительно для получения дохода от прироста стоимости капитала или инвестиционного дохода; и (iii) оценивает и определяет результаты деятельности по инвестициям на основе их справедливой стоимости. Инвестиционное предприятие должно будет учитывать свои дочерние предприятия по справедливой стоимости, изменения которой отражаются в составе прибыли или убытка, и консолидировать только те из них, которые предоставляют услуги, относящиеся к инвестиционной деятельности предприятия.</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w:t>
            </w:r>
            <w:proofErr w:type="gramStart"/>
            <w:r w:rsidRPr="0073427F">
              <w:rPr>
                <w:rFonts w:ascii="Tahoma" w:eastAsia="Times New Roman" w:hAnsi="Tahoma" w:cs="Tahoma"/>
                <w:color w:val="000000"/>
                <w:sz w:val="18"/>
                <w:szCs w:val="18"/>
                <w:lang w:eastAsia="ru-RU" w:bidi="ru-RU"/>
              </w:rPr>
              <w:t>соответствии</w:t>
            </w:r>
            <w:proofErr w:type="gramEnd"/>
            <w:r w:rsidRPr="0073427F">
              <w:rPr>
                <w:rFonts w:ascii="Tahoma" w:eastAsia="Times New Roman" w:hAnsi="Tahoma" w:cs="Tahoma"/>
                <w:color w:val="000000"/>
                <w:sz w:val="18"/>
                <w:szCs w:val="18"/>
                <w:lang w:eastAsia="ru-RU" w:bidi="ru-RU"/>
              </w:rPr>
              <w:t xml:space="preserve"> с пересмотренным МСФО (IFRS) 12, требуется раскрывать дополнительную информацию, включая существенные суждения, которые используются, чтобы определить, является ли предприятие инвестиционным или нет. Кроме того, необходимо раскрывать информацию о финансовой или иной поддержке, оказываемой дочернему предприятию, не включенному в консолидированную финансовую отчетность, независимо от того, была ли эта поддержка уже предоставлена или только имеется намерение ее предоставить. В настоящее время Компания проводит оценку того, как данные поправки повлияют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Изменение к МСФО (IAS) 12 «Налоги на прибыль» относительно отложенного налогообложения, связанного с возмещением соответствующих активов (вступает в силу для годовых периодов, начинающихся 1 января 2013 года или после этой даты).</w:t>
            </w:r>
            <w:r w:rsidRPr="0073427F">
              <w:rPr>
                <w:rFonts w:ascii="Tahoma" w:eastAsia="Times New Roman" w:hAnsi="Tahoma" w:cs="Tahoma"/>
                <w:color w:val="000000"/>
                <w:sz w:val="18"/>
                <w:szCs w:val="18"/>
                <w:lang w:eastAsia="ru-RU" w:bidi="ru-RU"/>
              </w:rPr>
              <w:t xml:space="preserve"> В настоящее время Компания проводит оценку того, как данная поправка повлияет на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Прочие пересмотренные стандарты и интерпретации:</w:t>
            </w:r>
            <w:r w:rsidRPr="0073427F">
              <w:rPr>
                <w:rFonts w:ascii="Tahoma" w:eastAsia="Times New Roman" w:hAnsi="Tahoma" w:cs="Tahoma"/>
                <w:color w:val="000000"/>
                <w:sz w:val="18"/>
                <w:szCs w:val="18"/>
                <w:lang w:eastAsia="ru-RU" w:bidi="ru-RU"/>
              </w:rPr>
              <w:t xml:space="preserve"> </w:t>
            </w:r>
            <w:proofErr w:type="gramStart"/>
            <w:r w:rsidRPr="0073427F">
              <w:rPr>
                <w:rFonts w:ascii="Tahoma" w:eastAsia="Times New Roman" w:hAnsi="Tahoma" w:cs="Tahoma"/>
                <w:b/>
                <w:i/>
                <w:color w:val="000000"/>
                <w:sz w:val="18"/>
                <w:szCs w:val="18"/>
                <w:lang w:eastAsia="ru-RU" w:bidi="ru-RU"/>
              </w:rPr>
              <w:t xml:space="preserve">Изменение к МСФО 1 «Первое применение Международных стандартов финансовой отчетности» относительно применения МСФО 9 «Финансовые инструменты» и МСФО (IAS) 20 «Учет государственных субсидий и раскрытие информации о государственной помощи» - исключение, предоставляющее освобождение от ретроспективного применения МСФО в отношении государственных займов </w:t>
            </w:r>
            <w:r w:rsidRPr="0073427F">
              <w:rPr>
                <w:rFonts w:ascii="Tahoma" w:eastAsia="Times New Roman" w:hAnsi="Tahoma" w:cs="Tahoma"/>
                <w:color w:val="000000"/>
                <w:sz w:val="18"/>
                <w:szCs w:val="18"/>
                <w:lang w:eastAsia="ru-RU" w:bidi="ru-RU"/>
              </w:rPr>
              <w:t>(выпущено в марте 2012 года и вступает в силу для годовых периодов, начинающихся 1 января 2013 года).</w:t>
            </w:r>
            <w:proofErr w:type="gramEnd"/>
            <w:r w:rsidRPr="0073427F">
              <w:rPr>
                <w:rFonts w:ascii="Tahoma" w:eastAsia="Times New Roman" w:hAnsi="Tahoma" w:cs="Tahoma"/>
                <w:color w:val="000000"/>
                <w:sz w:val="18"/>
                <w:szCs w:val="18"/>
                <w:lang w:eastAsia="ru-RU" w:bidi="ru-RU"/>
              </w:rPr>
              <w:t xml:space="preserve"> Данное изменение освобождает компании, впервые составляющие отчетность по МСФО, от полного ретроспективного применения МСФО при отражении некоторых  государственных займов при переходе на МСФО.  ПКИ 20, «Затраты на вскрышные работы при открытой разработке на этапе добычи» рассматривает вопрос о том, когда и каким образом учитывать выгоды, возникающие в результате вскрышных работ. Предполагается, что указанные изменения и интерпретации не окажут воздействия на данную финансовую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Разъяснение КРМФО (IFRIC) 21 - «Сборы» (выпущено 20 мая 2013 года и вступает в силу для годовых периодов, начинающихся 1 января 2014 года).</w:t>
            </w:r>
            <w:r w:rsidRPr="0073427F">
              <w:rPr>
                <w:rFonts w:ascii="Tahoma" w:eastAsia="Times New Roman" w:hAnsi="Tahoma" w:cs="Tahoma"/>
                <w:color w:val="000000"/>
                <w:sz w:val="18"/>
                <w:szCs w:val="18"/>
                <w:lang w:eastAsia="ru-RU" w:bidi="ru-RU"/>
              </w:rPr>
              <w:t xml:space="preserve"> Данное разъяснение объясняет порядок учета обязательств по выплате сборов, кроме налога на прибыль. Обязывающее событие, в результате которого появляется обязательство, представляет собой событие, которое определяется законодательством как приводящее к обязательству по уплате сбора. Тот факт, что предприятие в силу экономических причин будет продолжать деятельность в будущем периоде или что предприятие готовит финансовую отчетность на основе допущения о непрерывности деятельности предприятия, не приводит к возникновению обязательства. Для целей промежуточной и годовой финансовой отчетности применяются одни и те же принципы признания. Применение разъяснения к обязательствам, возникающим в связи с программами торговли квотами на выбросы, не является обязательным.</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Поправки к МСФО (IAS) 36 - «Раскрытие информации о возмещаемой сумме для нефинансовых активов» (выпущены 29 мая 2013 года и вступают силу для годовых периодов, начинающихся 1 января 2014 года; досрочное применение разрешается в случае, если МСФО (IFRS) 13 применяется в отношении того же учетного и сравнительного периода).</w:t>
            </w:r>
            <w:r w:rsidRPr="0073427F">
              <w:rPr>
                <w:rFonts w:ascii="Tahoma" w:eastAsia="Times New Roman" w:hAnsi="Tahoma" w:cs="Tahoma"/>
                <w:color w:val="000000"/>
                <w:sz w:val="18"/>
                <w:szCs w:val="18"/>
                <w:lang w:eastAsia="ru-RU" w:bidi="ru-RU"/>
              </w:rPr>
              <w:t xml:space="preserve"> Данные поправки отменяют требование о раскрытии информации о возмещаемой стоимости, если единица, генерирующая денежные средства, включает гудвил или нематериальные активы с неопределенным сроком полезного использования, и при этом отсутствует обесценение.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3427F" w:rsidRPr="0073427F" w:rsidTr="0073427F">
        <w:tc>
          <w:tcPr>
            <w:tcW w:w="973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Если выше не указано иное, ожидается, что данные новые стандарты и интерпретации существенно не повлияют на финансовую отчетность Компании. </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34"/>
          <w:footerReference w:type="default" r:id="rId35"/>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Инвестиции в дочерние предприятия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Дочерние предприятия представляют собой такие компании и другие организации (включая компании специального назначения), в которых Компании напрямую или косвенно принадлежит более половины голосующих акций, либо существует другая возможность контролировать их финансовую и операционную политику для получения экономических выгод. При оценке наличия контроля со стороны Компании в отношении другого юридического лица принимается во внимание наличие и влияние потенциальных прав голоса, которые в настоящее время могут быть представлены к исполнению или конвертации.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(i)</w:t>
      </w: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Классификация:</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Компания классифицирует свои инвестиции в дочерние предприятия как финансовые активы, оцениваемые по справедливой стоимости, изменения которой отражаются в составе прибыли или убытка. Данные активы отражаются как долгосрочные, так как эти инвестиции удерживаются на долгосрочную перспективу, а не для торговли. Руководство определяет классификацию финансовых активов в момент их первоначального признания. Финансовые активы, классифицируемые как оцениваемые по справедливой стоимости, изменения которой отражаются в составе прибыли или убытка при первоначальном признании - это активы, управление которыми, а также оценка их эффективности осуществляются на основе справедливой стоимости в соответствии с документально закрепленной стратегией инвестирования Компании.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Информация по справедливой стоимости этих финансовых активов представляется старшему руководящему персоналу Компании. Активы в данной категории классифицируются как краткосрочные, если они удерживаются для торговли или их предполагается реализовать в течение двенадцати месяцев с отчетной даты.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(ii)</w:t>
      </w: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Признание и оценка: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Стандартные сделки по покупке и продаже финансовых активов признаются на дату совершения операции, то есть на дату, когда Компания принимает на себя обязательство купить или продать инвестиции в дочернее предприятие. Финансовые активы, оцениваемые по справедливой стоимости, изменения которой отражаются в составе прибыли или убытка, первоначально признаются по справедливой стоимости, а затраты по сделке относятся в отчет о совокупном доходе. Компания прекращает признание финансовых активов, когда истек период действия прав на получение потоков денежных средств от финансовых активов или они были переданы, и Компания в основном передала все риски и выгоды, связанные с правом собственности на них.</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 впоследствии отражаются по справедливой стоимости.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Доходы и расходы, связанные с изменением справедливой стоимости финансовых активов, оцениваемых по справедливой стоимости, изменения которой отражаются в составе прибыли или убытка, представлены в отчете о совокупном доходе в том периоде, в котором они возникают. Дивидендный доход по финансовым активам, оцениваемым по справедливой стоимости, изменения которой отражаются в составе прибыли или убытка, отражается в отчете о совокупном доходе в составе дохода по дивидендам в момент установления права Компании на получение выплат.</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Ассоциированные предприятия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Ассоциированными являются все предприятия, на которые Компания оказывает значительное влияние, но при этом не имеет контроля над ними; в таких предприятиях Компания обычно владеет от 20% до 50% голосующих акций. Инвестиции в ассоциированные предприятия отражаются по стоимости приобретения за вычетом резерва под постоянное уменьшение стоимости, который </w:t>
      </w:r>
      <w:proofErr w:type="gramStart"/>
      <w:r w:rsidRPr="0073427F">
        <w:rPr>
          <w:rFonts w:ascii="Tahoma" w:eastAsia="Times New Roman" w:hAnsi="Tahoma" w:cs="Tahoma"/>
          <w:color w:val="000000"/>
          <w:sz w:val="18"/>
          <w:szCs w:val="18"/>
          <w:lang w:eastAsia="ru-RU" w:bidi="ru-RU"/>
        </w:rPr>
        <w:t>признается</w:t>
      </w:r>
      <w:proofErr w:type="gramEnd"/>
      <w:r w:rsidRPr="0073427F">
        <w:rPr>
          <w:rFonts w:ascii="Tahoma" w:eastAsia="Times New Roman" w:hAnsi="Tahoma" w:cs="Tahoma"/>
          <w:color w:val="000000"/>
          <w:sz w:val="18"/>
          <w:szCs w:val="18"/>
          <w:lang w:eastAsia="ru-RU" w:bidi="ru-RU"/>
        </w:rPr>
        <w:t xml:space="preserve"> как расход в том периоде в котором было выявлено уменьшение стоимости.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составляет консолидированную финансовую отчетность. При подготовке данной отдельной финансовой отчетности Компания использовала преимущество освобождения в соответствии с МСФО (IAS) 28 «Инвестиции в ассоциированные предприятия»  от требования учитывать ассоциированное предприятие по методу долевого участия.</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Признание выручки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Выручка, полученная Компанией, признается следующим образом:</w:t>
      </w:r>
    </w:p>
    <w:p w:rsidR="0073427F" w:rsidRPr="0073427F" w:rsidRDefault="0073427F" w:rsidP="0073427F">
      <w:pPr>
        <w:widowControl w:val="0"/>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Процентные доходы </w:t>
      </w:r>
    </w:p>
    <w:p w:rsidR="0073427F" w:rsidRPr="0073427F" w:rsidRDefault="0073427F" w:rsidP="0073427F">
      <w:pPr>
        <w:widowControl w:val="0"/>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доходы признаются пропорционально в течение времени финансирования с использованием метода эффективной ставки процента.</w:t>
      </w:r>
    </w:p>
    <w:p w:rsidR="0073427F" w:rsidRPr="0073427F" w:rsidRDefault="0073427F" w:rsidP="0073427F">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Доход по дивидендам</w:t>
      </w:r>
      <w:r w:rsidRPr="0073427F">
        <w:rPr>
          <w:rFonts w:ascii="Tahoma" w:eastAsia="Times New Roman" w:hAnsi="Tahoma" w:cs="Tahoma"/>
          <w:bCs/>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Дивиденды признаются, когда установлено право Компании на получение платежа.</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Финансовые доходы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доходы включают процентные доходы, которые признаются по методу начисления.</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Пересчет иностранной валюты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850"/>
        <w:gridCol w:w="8509"/>
      </w:tblGrid>
      <w:tr w:rsidR="0073427F" w:rsidRPr="0073427F" w:rsidTr="0073427F">
        <w:tc>
          <w:tcPr>
            <w:tcW w:w="850" w:type="dxa"/>
            <w:tcBorders>
              <w:top w:val="nil"/>
              <w:left w:val="nil"/>
              <w:bottom w:val="nil"/>
              <w:right w:val="nil"/>
            </w:tcBorders>
          </w:tcPr>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(1)</w:t>
            </w:r>
          </w:p>
        </w:tc>
        <w:tc>
          <w:tcPr>
            <w:tcW w:w="8509" w:type="dxa"/>
            <w:tcBorders>
              <w:top w:val="nil"/>
              <w:left w:val="nil"/>
              <w:bottom w:val="nil"/>
              <w:right w:val="nil"/>
            </w:tcBorders>
          </w:tcPr>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3427F">
              <w:rPr>
                <w:rFonts w:ascii="Tahoma" w:eastAsia="Times New Roman" w:hAnsi="Tahoma" w:cs="Tahoma"/>
                <w:bCs/>
                <w:i/>
                <w:color w:val="000000"/>
                <w:sz w:val="18"/>
                <w:szCs w:val="18"/>
                <w:u w:val="single"/>
                <w:lang w:eastAsia="ru-RU" w:bidi="ru-RU"/>
              </w:rPr>
              <w:t>Функциональная валюта и валюта представления отчетности</w:t>
            </w:r>
          </w:p>
        </w:tc>
      </w:tr>
      <w:tr w:rsidR="0073427F" w:rsidRPr="0073427F" w:rsidTr="0073427F">
        <w:tc>
          <w:tcPr>
            <w:tcW w:w="85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850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Статьи, включенные в финансовую отчетность Компании, оцениваются в валюте основной экономической среды, в которой предприятие осуществляет свою деятельность («функциональная валюта»). Данная финансовая отчетность представлена в долларах США - функциональной валюте и валюте представления отчетности Компании.</w:t>
            </w:r>
          </w:p>
        </w:tc>
      </w:tr>
      <w:tr w:rsidR="0073427F" w:rsidRPr="0073427F" w:rsidTr="0073427F">
        <w:tc>
          <w:tcPr>
            <w:tcW w:w="850" w:type="dxa"/>
            <w:tcBorders>
              <w:top w:val="nil"/>
              <w:left w:val="nil"/>
              <w:bottom w:val="nil"/>
              <w:right w:val="nil"/>
            </w:tcBorders>
          </w:tcPr>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(2)</w:t>
            </w:r>
          </w:p>
        </w:tc>
        <w:tc>
          <w:tcPr>
            <w:tcW w:w="8509" w:type="dxa"/>
            <w:tcBorders>
              <w:top w:val="nil"/>
              <w:left w:val="nil"/>
              <w:bottom w:val="nil"/>
              <w:right w:val="nil"/>
            </w:tcBorders>
          </w:tcPr>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3427F">
              <w:rPr>
                <w:rFonts w:ascii="Tahoma" w:eastAsia="Times New Roman" w:hAnsi="Tahoma" w:cs="Tahoma"/>
                <w:bCs/>
                <w:i/>
                <w:color w:val="000000"/>
                <w:sz w:val="18"/>
                <w:szCs w:val="18"/>
                <w:u w:val="single"/>
                <w:lang w:eastAsia="ru-RU" w:bidi="ru-RU"/>
              </w:rPr>
              <w:t>Операции и остатки</w:t>
            </w:r>
          </w:p>
        </w:tc>
      </w:tr>
      <w:tr w:rsidR="0073427F" w:rsidRPr="0073427F" w:rsidTr="0073427F">
        <w:tc>
          <w:tcPr>
            <w:tcW w:w="85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50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Операции в иностранной валюте пересчитываются в функциональную валюту на основании обменного курса на дату осуществления операции. </w:t>
            </w:r>
            <w:proofErr w:type="gramStart"/>
            <w:r w:rsidRPr="0073427F">
              <w:rPr>
                <w:rFonts w:ascii="Tahoma" w:eastAsia="Times New Roman" w:hAnsi="Tahoma" w:cs="Tahoma"/>
                <w:color w:val="000000"/>
                <w:sz w:val="18"/>
                <w:szCs w:val="18"/>
                <w:lang w:eastAsia="ru-RU" w:bidi="ru-RU"/>
              </w:rPr>
              <w:t>Положительные</w:t>
            </w:r>
            <w:proofErr w:type="gramEnd"/>
            <w:r w:rsidRPr="0073427F">
              <w:rPr>
                <w:rFonts w:ascii="Tahoma" w:eastAsia="Times New Roman" w:hAnsi="Tahoma" w:cs="Tahoma"/>
                <w:color w:val="000000"/>
                <w:sz w:val="18"/>
                <w:szCs w:val="18"/>
                <w:lang w:eastAsia="ru-RU" w:bidi="ru-RU"/>
              </w:rPr>
              <w:t xml:space="preserve"> и отрицательные курсовые разницы при расчетах по этим операциям и от пересчета денежных активов и обязательств, выраженных в иностранных валютах, по обменному курсу на конец года отражаются в отчете о совокупном доходе. </w:t>
            </w:r>
          </w:p>
        </w:tc>
      </w:tr>
    </w:tbl>
    <w:p w:rsidR="0073427F" w:rsidRPr="0073427F" w:rsidRDefault="0073427F" w:rsidP="0073427F">
      <w:pPr>
        <w:keepNext/>
        <w:keepLines/>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Текущие и отложенные налоги </w:t>
      </w:r>
    </w:p>
    <w:p w:rsidR="0073427F" w:rsidRPr="0073427F" w:rsidRDefault="0073427F" w:rsidP="0073427F">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Расход по налогу за год состоит из текущего и отложенного налога на прибыль. Налог на прибыль отражается в отчете о совокупном доходе, за исключением сумм, относящихся к статьям, отражаемым в прочем совокупном доходе или непосредственно в составе капитала. В </w:t>
      </w:r>
      <w:proofErr w:type="gramStart"/>
      <w:r w:rsidRPr="0073427F">
        <w:rPr>
          <w:rFonts w:ascii="Tahoma" w:eastAsia="Times New Roman" w:hAnsi="Tahoma" w:cs="Tahoma"/>
          <w:color w:val="000000"/>
          <w:sz w:val="18"/>
          <w:szCs w:val="18"/>
          <w:lang w:eastAsia="ru-RU" w:bidi="ru-RU"/>
        </w:rPr>
        <w:t>этом</w:t>
      </w:r>
      <w:proofErr w:type="gramEnd"/>
      <w:r w:rsidRPr="0073427F">
        <w:rPr>
          <w:rFonts w:ascii="Tahoma" w:eastAsia="Times New Roman" w:hAnsi="Tahoma" w:cs="Tahoma"/>
          <w:color w:val="000000"/>
          <w:sz w:val="18"/>
          <w:szCs w:val="18"/>
          <w:lang w:eastAsia="ru-RU" w:bidi="ru-RU"/>
        </w:rPr>
        <w:t xml:space="preserve"> случае налог также признается в прочем совокупном доходе или непосредственно в составе капитала соответственно.</w:t>
      </w:r>
    </w:p>
    <w:p w:rsidR="0073427F" w:rsidRPr="0073427F" w:rsidRDefault="0073427F" w:rsidP="0073427F">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 на прибыль рассчитывается на основе налогового законодательства, действующего или по существу вступившего в силу на отчетную дату в стране, в которой Компания осуществляет свою деятельность и получает налогооблагаемую прибыль. Руководство периодически оценивает позиции в налоговых декларациях относительно ситуаций, в которых применимые положения налогового законодательства допускают возможность разных толкований. Если применимые положения налогового законодательства допускают возможность разных толкований, руководство формирует в необходимых случаях резерв на основе сумм, ожидаемых к уплате налоговым органам.</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Отложенный налог на прибыль определяется </w:t>
      </w:r>
      <w:proofErr w:type="gramStart"/>
      <w:r w:rsidRPr="0073427F">
        <w:rPr>
          <w:rFonts w:ascii="Tahoma" w:eastAsia="Times New Roman" w:hAnsi="Tahoma" w:cs="Tahoma"/>
          <w:color w:val="000000"/>
          <w:sz w:val="18"/>
          <w:szCs w:val="18"/>
          <w:lang w:eastAsia="ru-RU" w:bidi="ru-RU"/>
        </w:rPr>
        <w:t>по</w:t>
      </w:r>
      <w:proofErr w:type="gramEnd"/>
      <w:r w:rsidRPr="0073427F">
        <w:rPr>
          <w:rFonts w:ascii="Tahoma" w:eastAsia="Times New Roman" w:hAnsi="Tahoma" w:cs="Tahoma"/>
          <w:color w:val="000000"/>
          <w:sz w:val="18"/>
          <w:szCs w:val="18"/>
          <w:lang w:eastAsia="ru-RU" w:bidi="ru-RU"/>
        </w:rPr>
        <w:t xml:space="preserve"> временным разницам между налоговой базой активов и обязательств и их балансовой суммой в финансовой отчетности с использованием метода обязательств. Однако отложенный налог не признается в отношении </w:t>
      </w:r>
      <w:proofErr w:type="gramStart"/>
      <w:r w:rsidRPr="0073427F">
        <w:rPr>
          <w:rFonts w:ascii="Tahoma" w:eastAsia="Times New Roman" w:hAnsi="Tahoma" w:cs="Tahoma"/>
          <w:color w:val="000000"/>
          <w:sz w:val="18"/>
          <w:szCs w:val="18"/>
          <w:lang w:eastAsia="ru-RU" w:bidi="ru-RU"/>
        </w:rPr>
        <w:t>временных</w:t>
      </w:r>
      <w:proofErr w:type="gramEnd"/>
      <w:r w:rsidRPr="0073427F">
        <w:rPr>
          <w:rFonts w:ascii="Tahoma" w:eastAsia="Times New Roman" w:hAnsi="Tahoma" w:cs="Tahoma"/>
          <w:color w:val="000000"/>
          <w:sz w:val="18"/>
          <w:szCs w:val="18"/>
          <w:lang w:eastAsia="ru-RU" w:bidi="ru-RU"/>
        </w:rPr>
        <w:t xml:space="preserve"> разниц, возникающих при первоначальном признании актива или обязательства по операциям, не являющимся объединением бизнеса, если таковые на дату операции не оказывают влияния ни на бухгалтерскую, ни на налогооблагаемую прибыль или убыток. Отложенный налог на прибыль рассчитывается в соответствии с налоговыми ставками и положениями законодательства, действующими или по существу вступившими в силу на отчетную дату, применение </w:t>
      </w:r>
      <w:proofErr w:type="gramStart"/>
      <w:r w:rsidRPr="0073427F">
        <w:rPr>
          <w:rFonts w:ascii="Tahoma" w:eastAsia="Times New Roman" w:hAnsi="Tahoma" w:cs="Tahoma"/>
          <w:color w:val="000000"/>
          <w:sz w:val="18"/>
          <w:szCs w:val="18"/>
          <w:lang w:eastAsia="ru-RU" w:bidi="ru-RU"/>
        </w:rPr>
        <w:t>которых</w:t>
      </w:r>
      <w:proofErr w:type="gramEnd"/>
      <w:r w:rsidRPr="0073427F">
        <w:rPr>
          <w:rFonts w:ascii="Tahoma" w:eastAsia="Times New Roman" w:hAnsi="Tahoma" w:cs="Tahoma"/>
          <w:color w:val="000000"/>
          <w:sz w:val="18"/>
          <w:szCs w:val="18"/>
          <w:lang w:eastAsia="ru-RU" w:bidi="ru-RU"/>
        </w:rPr>
        <w:t xml:space="preserve"> ожидается при реализации соответствующего налогового отложенного актива или при погашении соответствующего отложенного налогового обязательства.</w:t>
      </w:r>
    </w:p>
    <w:p w:rsidR="0073427F" w:rsidRPr="0073427F" w:rsidRDefault="0073427F" w:rsidP="0073427F">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Отложенные налоговые активы признаются тогда, когда существует вероятность получения налогооблагаемой прибыли, против которой могут быть использованы временные разницы.</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b/>
          <w:color w:val="000000"/>
          <w:sz w:val="18"/>
          <w:szCs w:val="18"/>
          <w:lang w:eastAsia="ru-RU" w:bidi="ru-RU"/>
        </w:rPr>
        <w:t>Текущие и отложенные налоги (продолжение)</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Зачет отложенных активов и обязательств по налогу на прибыль возможен, когда в законодательстве предусмотрено право зачета текущих налоговых активов и обязательств, и когда активы и обязательства по отложенному налогу на прибыль относятся к налогам, начисленным одним и тем же налоговым органом, при том, что существует намерение произвести расчеты путем взаимозачета.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Дивиденды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Выплата дивидендов акционерам Компании признается как обязательство в финансовой отчетности Компании в том году, в котором дивиденды надлежащим образом утверждаются, и уже не являются выплачиваемыми по усмотрению Компании. А именно: промежуточные дивиденды отражаются как обязательство в том периоде, в котором они утверждены Советом директоров, а окончательные дивиденды признаются в том периоде, в котором они утверждены акционерами Компании.</w:t>
      </w:r>
    </w:p>
    <w:p w:rsidR="0073427F" w:rsidRPr="0073427F" w:rsidRDefault="0073427F" w:rsidP="0073427F">
      <w:pPr>
        <w:keepNext/>
        <w:keepLines/>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Финансовые инструменты</w:t>
      </w:r>
      <w:r w:rsidRPr="0073427F">
        <w:rPr>
          <w:rFonts w:ascii="Tahoma" w:eastAsia="Times New Roman" w:hAnsi="Tahoma" w:cs="Tahoma"/>
          <w:bCs/>
          <w:color w:val="000000"/>
          <w:sz w:val="18"/>
          <w:szCs w:val="18"/>
          <w:lang w:eastAsia="ru-RU" w:bidi="ru-RU"/>
        </w:rPr>
        <w:t xml:space="preserve">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 и финансовые обязательства отражаются в отчете о финансовом положении, когда Компания вступает в договорные отношения, предметом которых являются указанные финансовые инструменты.</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Торговая дебиторская задолженность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 первоначальном признании торговая дебиторская задолженность отражается по справедливой стоимости, впоследствии - по амортизированной стоимости с использованием метода эффективной ставки процента. При наличии объективного доказательства обесценения актива в прибыли или убытке признаются соответствующие резервы по расчетной возмещаемой стоимости. Отраженный резерв представляет собой разницу между балансовой стоимостью актива и приведенной стоимостью ожидаемых потоков денежных средств, рассчитанной путем дисконтирования по эффективной ставке процента, определенной при первоначальном признании.</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Займы выданные</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Займы, выданные Компанией в виде денежных средств непосредственно заемщику, первоначально учитываются по справедливой стоимости плюс понесенные затраты по сделке. Эта сумма определяется как справедливая стоимость </w:t>
      </w:r>
      <w:proofErr w:type="gramStart"/>
      <w:r w:rsidRPr="0073427F">
        <w:rPr>
          <w:rFonts w:ascii="Tahoma" w:eastAsia="Times New Roman" w:hAnsi="Tahoma" w:cs="Tahoma"/>
          <w:color w:val="000000"/>
          <w:sz w:val="18"/>
          <w:szCs w:val="18"/>
          <w:lang w:eastAsia="ru-RU" w:bidi="ru-RU"/>
        </w:rPr>
        <w:t>ресурсов, предоставленных для выдачи таких займов и оценивается</w:t>
      </w:r>
      <w:proofErr w:type="gramEnd"/>
      <w:r w:rsidRPr="0073427F">
        <w:rPr>
          <w:rFonts w:ascii="Tahoma" w:eastAsia="Times New Roman" w:hAnsi="Tahoma" w:cs="Tahoma"/>
          <w:color w:val="000000"/>
          <w:sz w:val="18"/>
          <w:szCs w:val="18"/>
          <w:lang w:eastAsia="ru-RU" w:bidi="ru-RU"/>
        </w:rPr>
        <w:t xml:space="preserve"> на основе рыночной цены на дату выдачи займа. Предоставленные займы отражаются, начиная с момента выдачи денежных средств заемщикам. После первоначального признания займы и дебиторская задолженность учитываются по амортизированной стоимости, рассчитанной с использованием метода эффективной ставки процента.</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Резерв под обесценение займов формируется при наличии объективных данных, свидетельствующих о том, что Компания не сможет получить все суммы, причитающиеся к выплате в соответствии с первоначальными условиями соглашения. Сумма резерва представляет собой разницу между балансовой и возмещаемой стоимостью займа, являясь приведенной стоимостью ожидаемых денежных потоков, включая суммы, возмещаемые гарантиями и обеспечением, дисконтированные с использованием первоначальной эффективной процентной ставки по займам.</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Денежные средства и их эквиваленты</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Денежные средства и их эквиваленты включают средства на счетах в банках с первоначальным сроком погашения по договору не более трех месяцев. Денежные средства и их эквиваленты учитываются по амортизированной стоимости, рассчитанной с использованием метода эффективной ставки процента.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3427F">
        <w:rPr>
          <w:rFonts w:ascii="Tahoma" w:eastAsia="Times New Roman" w:hAnsi="Tahoma" w:cs="Tahoma"/>
          <w:b/>
          <w:color w:val="000000"/>
          <w:sz w:val="18"/>
          <w:szCs w:val="18"/>
          <w:lang w:eastAsia="ru-RU" w:bidi="ru-RU"/>
        </w:rPr>
        <w:t>Финансовые инструменты (продолжение)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Заемные средства</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Заемные средства первоначально признаются по сумме полученных средств за вычетом понесенных затрат по сделкам. Впоследствии заемные средства отражаются по амортизированной стоимости с использованием метода эффективной ставки процента. Разница между суммой полученных средств (за вычетом понесенных затрат) и стоимостью погашения отражается в отчете о совокупном доходе в течение периода заимствования с использованием метода эффективной ставки процента.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Торговая кредиторская задолженность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Торговая и прочая кредиторская задолженность начисляется по факту исполнения контрагентом своих договорных обязательств и учитывается по амортизированной стоимости с использованием метода эффективной ставки процента.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Производные финансовые инструменты</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Производные финансовые инструменты, включая валютообменные контракты и процентные свопы, отражаются по справедливой стоимости. Производные инструменты учитываются как активы, если справедливая стоимость данных инструментов является положительной, и как обязательства, если их справедливая стоимость является отрицательной. Изменения справедливой стоимости производных инструментов включаются в прибыль или убыток за год. Компания не применяет учет хеджирования.</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Некоторые производные инструменты, встроенные в другие финансовые инструменты, выделяются из основного договора, если их риски и экономические характеристики не находятся в тесной связи с рисками и экономическими характеристиками договора.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Изменения справедливой стоимости производных инструментов незамедлительно отражаются в прибыли или убытке как финансовые доходы или финансовые расходы.</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Прекращение признания финансовых активов и обязательств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3427F">
        <w:rPr>
          <w:rFonts w:ascii="Tahoma" w:eastAsia="Times New Roman" w:hAnsi="Tahoma" w:cs="Tahoma"/>
          <w:i/>
          <w:color w:val="000000"/>
          <w:sz w:val="18"/>
          <w:szCs w:val="18"/>
          <w:u w:val="single"/>
          <w:lang w:eastAsia="ru-RU" w:bidi="ru-RU"/>
        </w:rPr>
        <w:t>Финансовые активы</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Компания прекращает признание финансового актива (или, если применимо, части финансового актива или группы аналогичных финансовых активов) в следующих случаях: </w:t>
      </w:r>
    </w:p>
    <w:p w:rsidR="0073427F" w:rsidRPr="0073427F" w:rsidRDefault="0073427F" w:rsidP="0073427F">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активы погашены или срок действия прав на потоки денежных средств, связанных с этими активами, истек;</w:t>
      </w:r>
    </w:p>
    <w:p w:rsidR="0073427F" w:rsidRPr="0073427F" w:rsidRDefault="0073427F" w:rsidP="0073427F">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передала практически все риски и вознаграждения, связанные с владением этими активами; или</w:t>
      </w:r>
    </w:p>
    <w:p w:rsidR="0073427F" w:rsidRPr="0073427F" w:rsidRDefault="0073427F" w:rsidP="0073427F">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не передала и не сохранила практически все риски и вознаграждения, связанные с владением этими активами, но утратила право контроля в отношении данных активов.</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3427F">
        <w:rPr>
          <w:rFonts w:ascii="Tahoma" w:eastAsia="Times New Roman" w:hAnsi="Tahoma" w:cs="Tahoma"/>
          <w:i/>
          <w:color w:val="000000"/>
          <w:sz w:val="18"/>
          <w:szCs w:val="18"/>
          <w:u w:val="single"/>
          <w:lang w:eastAsia="ru-RU" w:bidi="ru-RU"/>
        </w:rPr>
        <w:t>Финансовые обязательства</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прекращает признание финансового обязательства или части финансового обязательства в случае его исполнения, отмены или истечения срока действия.</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Обесценение активов </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Активы с неопределенным сроком службы не подлежат амортизации, и в их отношении ежегодно проводится тестирование на обесценение. Активы, подлежащие амортизации, тестируются на предмет обесценения, если какие-либо события или изменения свидетельствуют о том, что балансовая стоимость, возможно, не будет возмещена. Убыток от обесценения признается в отношении суммы, на которую балансовая стоимость актива превышает его возмещаемую стоимость. Возмещаемая стоимость определяется как наибольшая из справедливой стоимости актива за вычетом затрат на продажу и стоимости, получаемой в результате полезного использования. Для определения величины обесценения активы объединяются в группу на самом низком уровне, на котором Компания отдельно идентифицирует потоки денежных средств (единицы, генерирующие денежные потоки).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Взаимозачет финансовых инструментов </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Финансовые активы и обязательства взаимозачитываются и в отчете о финансовом положении отражается чистая величина только в тех случаях, когда существует законодательно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  Как правило, это не относится к генеральным соглашениям о взаимозачете; соответствующие активы и обязательства </w:t>
      </w:r>
      <w:proofErr w:type="gramStart"/>
      <w:r w:rsidRPr="0073427F">
        <w:rPr>
          <w:rFonts w:ascii="Tahoma" w:eastAsia="Times New Roman" w:hAnsi="Tahoma" w:cs="Tahoma"/>
          <w:color w:val="000000"/>
          <w:sz w:val="18"/>
          <w:szCs w:val="18"/>
          <w:lang w:eastAsia="ru-RU" w:bidi="ru-RU"/>
        </w:rPr>
        <w:t>представлены</w:t>
      </w:r>
      <w:proofErr w:type="gramEnd"/>
      <w:r w:rsidRPr="0073427F">
        <w:rPr>
          <w:rFonts w:ascii="Tahoma" w:eastAsia="Times New Roman" w:hAnsi="Tahoma" w:cs="Tahoma"/>
          <w:color w:val="000000"/>
          <w:sz w:val="18"/>
          <w:szCs w:val="18"/>
          <w:lang w:eastAsia="ru-RU" w:bidi="ru-RU"/>
        </w:rPr>
        <w:t xml:space="preserve"> развернуто в отчете о финансовом положении.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Операции с владельцами капитала/дочерними предприятиями</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Компания осуществляет операции с акционерами и дочерними предприятиями. </w:t>
      </w:r>
      <w:proofErr w:type="gramStart"/>
      <w:r w:rsidRPr="0073427F">
        <w:rPr>
          <w:rFonts w:ascii="Tahoma" w:eastAsia="Times New Roman" w:hAnsi="Tahoma" w:cs="Tahoma"/>
          <w:color w:val="000000"/>
          <w:sz w:val="18"/>
          <w:szCs w:val="18"/>
          <w:lang w:eastAsia="ru-RU" w:bidi="ru-RU"/>
        </w:rPr>
        <w:t>На основе характера сделки в соответствии с учетной политикой Компания признает (а) прибыль или убытки у собственников Компании и других предприятий, находящихся под контролем конечного акционера, напрямую через капитал, и учитывает эти сделки как получение дополнительного взноса в капитал или выплату дивидендов; и (b) любые убытки дочерних предприятий как стоимость инвестиций в дочерние предприятии.</w:t>
      </w:r>
      <w:proofErr w:type="gramEnd"/>
      <w:r w:rsidRPr="0073427F">
        <w:rPr>
          <w:rFonts w:ascii="Tahoma" w:eastAsia="Times New Roman" w:hAnsi="Tahoma" w:cs="Tahoma"/>
          <w:color w:val="000000"/>
          <w:sz w:val="18"/>
          <w:szCs w:val="18"/>
          <w:lang w:eastAsia="ru-RU" w:bidi="ru-RU"/>
        </w:rPr>
        <w:t xml:space="preserve"> Аналогичные операции со сторонами, не владеющими акциями, или дочерними предприятиями признаются через прибыль или убыток в соответствии с МСФО (IAS) 39 «Финансовые инструменты: признание и оценка».</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учитывает все операции с собственниками/дочерними предприятиями по выбытию дочерних предприятий по цене сделки.</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Акционерный капитал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Обыкновенные акции классифицируются как капитал. Разница между справедливой стоимостью возмещения, полученного Компанией, и номинальной стоимостью выпускаемого акционерного капитала относится на счет эмиссионного дохода.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Привилегированные акции отражаются как капитал, только если соблюдены оба условия (а) и (б): (а) акции не включают договорные обязательства (i) выплатить денежные средства или прочие финансовые активы другому предприятию или (ii) обменяться финансовыми активами или финансовыми обязательствами с другим предприятием на условиях, потенциально неблагоприятных для эмитента, и (</w:t>
      </w:r>
      <w:proofErr w:type="gramStart"/>
      <w:r w:rsidRPr="0073427F">
        <w:rPr>
          <w:rFonts w:ascii="Tahoma" w:eastAsia="Times New Roman" w:hAnsi="Tahoma" w:cs="Tahoma"/>
          <w:color w:val="000000"/>
          <w:sz w:val="18"/>
          <w:szCs w:val="18"/>
          <w:lang w:eastAsia="ru-RU" w:bidi="ru-RU"/>
        </w:rPr>
        <w:t xml:space="preserve">b) </w:t>
      </w:r>
      <w:proofErr w:type="gramEnd"/>
      <w:r w:rsidRPr="0073427F">
        <w:rPr>
          <w:rFonts w:ascii="Tahoma" w:eastAsia="Times New Roman" w:hAnsi="Tahoma" w:cs="Tahoma"/>
          <w:color w:val="000000"/>
          <w:sz w:val="18"/>
          <w:szCs w:val="18"/>
          <w:lang w:eastAsia="ru-RU" w:bidi="ru-RU"/>
        </w:rPr>
        <w:t>акции будут или могут быть погашены собственными долевыми инструментами эмитента, и акции являются (i) непроизводными инструментами без договорных обязатель</w:t>
      </w:r>
      <w:proofErr w:type="gramStart"/>
      <w:r w:rsidRPr="0073427F">
        <w:rPr>
          <w:rFonts w:ascii="Tahoma" w:eastAsia="Times New Roman" w:hAnsi="Tahoma" w:cs="Tahoma"/>
          <w:color w:val="000000"/>
          <w:sz w:val="18"/>
          <w:szCs w:val="18"/>
          <w:lang w:eastAsia="ru-RU" w:bidi="ru-RU"/>
        </w:rPr>
        <w:t>ств дл</w:t>
      </w:r>
      <w:proofErr w:type="gramEnd"/>
      <w:r w:rsidRPr="0073427F">
        <w:rPr>
          <w:rFonts w:ascii="Tahoma" w:eastAsia="Times New Roman" w:hAnsi="Tahoma" w:cs="Tahoma"/>
          <w:color w:val="000000"/>
          <w:sz w:val="18"/>
          <w:szCs w:val="18"/>
          <w:lang w:eastAsia="ru-RU" w:bidi="ru-RU"/>
        </w:rPr>
        <w:t>я эмитента предоставить переменное количество собственных долевых инструментов или (ii) производными инструментами, расчет по которым производится только посредством обмена эмитентом фиксированной суммы денежных средств или другого финансового актива на фиксированное количество собственных долевых инструментов.</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План выплат, основанных на акциях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Как изложено в Примечании 29, ряд директоров Компании имеет право участия в плане выплат, основанных на акциях. Ввиду того, что в рамках данного плана Компания имеет обязательство осуществить выплаты денежными средствами, этот план учитывается как операция по выплатам денежными средствами, основанным на акциях. Расчет обязательств и расходов, относящихся к данному плану, основан на 1) периоде вступления в права на получение платежей, 2) расчетной справедливой стоимости опционов, 3) количестве опционов, которые удовлетворяют условиям вступления в права и 4) расчетном сроке исполнения опционов. Обязательство, относящееся к плану, оценивается на каждую отчетную дату по справедливой стоимости через прибыль или убыток по мере передачи прав по опционам.</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Сравнительные данные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Там, где это необходимо, сравнительные данные были скорректированы для приведения в соответствие с изменениями в представлении текущего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2.1. Изменения в учетной политике: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МСФО (IAS) 27 «Консолидированная и отдельная финансовая отчетность»:</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течение года руководство Компании пересмотрело политику Компании в отношении инвестиций в дочерние предприятия. С 1 января 2012 года Компания учитывает инвестиции в дочерние предприятия по справедливой стоимости как финансовые активы, оцениваемые по справедливой стоимости, изменения которой отражаются в составе прибыли или убытка, в соответствии с МСФО (IAS) 39 «Финансовые инструменты: признание и оценка». Учитывая, что Компания управляет инвестициями в дочерние предприятия и оценивает результаты их деятельности на основе справедливой стоимости, что соответствует задокументированной стратегии инвестирования, Компания перешла с модели учета по фактическим затратам на модель справедливой стоимости. Руководство считает, что новая политика обеспечит надежную и более релевантную информацию, так как она более достоверно представляет основные инвестиции в дочерние предприятия. </w:t>
      </w:r>
      <w:proofErr w:type="gramStart"/>
      <w:r w:rsidRPr="0073427F">
        <w:rPr>
          <w:rFonts w:ascii="Tahoma" w:eastAsia="Times New Roman" w:hAnsi="Tahoma" w:cs="Tahoma"/>
          <w:color w:val="000000"/>
          <w:sz w:val="18"/>
          <w:szCs w:val="18"/>
          <w:lang w:eastAsia="ru-RU" w:bidi="ru-RU"/>
        </w:rPr>
        <w:t xml:space="preserve">В соответствии с МСФО (IAS) 8 «Учетная политика, изменения в бухгалтерских оценках и ошибки» новая учетная политика была принята ретроспективно и сравнительная отчетность за 2011 год была пересчитана соответственно. </w:t>
      </w:r>
      <w:proofErr w:type="gramEnd"/>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Воздействие данного изменения учетной </w:t>
      </w:r>
      <w:proofErr w:type="gramStart"/>
      <w:r w:rsidRPr="0073427F">
        <w:rPr>
          <w:rFonts w:ascii="Tahoma" w:eastAsia="Times New Roman" w:hAnsi="Tahoma" w:cs="Tahoma"/>
          <w:color w:val="000000"/>
          <w:sz w:val="18"/>
          <w:szCs w:val="18"/>
          <w:lang w:eastAsia="ru-RU" w:bidi="ru-RU"/>
        </w:rPr>
        <w:t>политики на отчет</w:t>
      </w:r>
      <w:proofErr w:type="gramEnd"/>
      <w:r w:rsidRPr="0073427F">
        <w:rPr>
          <w:rFonts w:ascii="Tahoma" w:eastAsia="Times New Roman" w:hAnsi="Tahoma" w:cs="Tahoma"/>
          <w:color w:val="000000"/>
          <w:sz w:val="18"/>
          <w:szCs w:val="18"/>
          <w:lang w:eastAsia="ru-RU" w:bidi="ru-RU"/>
        </w:rPr>
        <w:t xml:space="preserve"> о финансовом положении на 1 января 2011 года представлено ниже: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72" w:type="dxa"/>
        <w:tblLayout w:type="fixed"/>
        <w:tblCellMar>
          <w:left w:w="72" w:type="dxa"/>
          <w:right w:w="72" w:type="dxa"/>
        </w:tblCellMar>
        <w:tblLook w:val="0000" w:firstRow="0" w:lastRow="0" w:firstColumn="0" w:lastColumn="0" w:noHBand="0" w:noVBand="0"/>
      </w:tblPr>
      <w:tblGrid>
        <w:gridCol w:w="4580"/>
        <w:gridCol w:w="1514"/>
        <w:gridCol w:w="1729"/>
        <w:gridCol w:w="1525"/>
      </w:tblGrid>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Первоначально представленная сумма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Корректировка</w:t>
            </w: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Скорректированные данные</w:t>
            </w: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Активы</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Долгосрочные активы</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514" w:type="dxa"/>
            <w:tcBorders>
              <w:top w:val="nil"/>
              <w:left w:val="nil"/>
              <w:bottom w:val="nil"/>
              <w:right w:val="nil"/>
            </w:tcBorders>
          </w:tcPr>
          <w:p w:rsidR="0073427F" w:rsidRPr="0073427F" w:rsidRDefault="0073427F" w:rsidP="0073427F">
            <w:pPr>
              <w:widowControl w:val="0"/>
              <w:tabs>
                <w:tab w:val="right" w:pos="1226"/>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446,691,884</w:t>
            </w:r>
            <w:r w:rsidRPr="0073427F">
              <w:rPr>
                <w:rFonts w:ascii="Tahoma" w:eastAsia="Times New Roman" w:hAnsi="Tahoma" w:cs="Tahoma"/>
                <w:color w:val="000000"/>
                <w:sz w:val="18"/>
                <w:szCs w:val="18"/>
                <w:lang w:eastAsia="ru-RU" w:bidi="ru-RU"/>
              </w:rPr>
              <w:tab/>
            </w:r>
          </w:p>
        </w:tc>
        <w:tc>
          <w:tcPr>
            <w:tcW w:w="1525" w:type="dxa"/>
            <w:tcBorders>
              <w:top w:val="nil"/>
              <w:left w:val="nil"/>
              <w:bottom w:val="nil"/>
              <w:right w:val="nil"/>
            </w:tcBorders>
          </w:tcPr>
          <w:p w:rsidR="0073427F" w:rsidRPr="0073427F" w:rsidRDefault="0073427F" w:rsidP="0073427F">
            <w:pPr>
              <w:widowControl w:val="0"/>
              <w:tabs>
                <w:tab w:val="right" w:pos="1354"/>
                <w:tab w:val="left" w:pos="138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446,691,884</w:t>
            </w:r>
            <w:r w:rsidRPr="0073427F">
              <w:rPr>
                <w:rFonts w:ascii="Tahoma" w:eastAsia="Times New Roman" w:hAnsi="Tahoma" w:cs="Tahoma"/>
                <w:color w:val="000000"/>
                <w:sz w:val="18"/>
                <w:szCs w:val="18"/>
                <w:lang w:eastAsia="ru-RU" w:bidi="ru-RU"/>
              </w:rPr>
              <w:tab/>
            </w: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Инвестиции в дочерние предприятия</w:t>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419,200,211</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(419,200,211)</w:t>
            </w:r>
            <w:r w:rsidRPr="0073427F">
              <w:rPr>
                <w:rFonts w:ascii="Tahoma" w:eastAsia="Times New Roman" w:hAnsi="Tahoma" w:cs="Tahoma"/>
                <w:color w:val="000000"/>
                <w:sz w:val="18"/>
                <w:szCs w:val="18"/>
                <w:lang w:eastAsia="ru-RU" w:bidi="ru-RU"/>
              </w:rPr>
              <w:tab/>
            </w:r>
          </w:p>
        </w:tc>
        <w:tc>
          <w:tcPr>
            <w:tcW w:w="1525" w:type="dxa"/>
            <w:tcBorders>
              <w:top w:val="nil"/>
              <w:left w:val="nil"/>
              <w:bottom w:val="nil"/>
              <w:right w:val="nil"/>
            </w:tcBorders>
          </w:tcPr>
          <w:p w:rsidR="0073427F" w:rsidRPr="0073427F" w:rsidRDefault="0073427F" w:rsidP="0073427F">
            <w:pPr>
              <w:widowControl w:val="0"/>
              <w:tabs>
                <w:tab w:val="right" w:pos="1238"/>
                <w:tab w:val="left" w:pos="138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Капитал</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80"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(Накопленные убытки)/нераспределенная прибыль</w:t>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(2,622,232)</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27,491,673</w:t>
            </w:r>
            <w:r w:rsidRPr="0073427F">
              <w:rPr>
                <w:rFonts w:ascii="Tahoma" w:eastAsia="Times New Roman" w:hAnsi="Tahoma" w:cs="Tahoma"/>
                <w:color w:val="000000"/>
                <w:sz w:val="18"/>
                <w:szCs w:val="18"/>
                <w:lang w:eastAsia="ru-RU" w:bidi="ru-RU"/>
              </w:rPr>
              <w:tab/>
            </w:r>
          </w:p>
        </w:tc>
        <w:tc>
          <w:tcPr>
            <w:tcW w:w="1525" w:type="dxa"/>
            <w:tcBorders>
              <w:top w:val="nil"/>
              <w:left w:val="nil"/>
              <w:bottom w:val="nil"/>
              <w:right w:val="nil"/>
            </w:tcBorders>
          </w:tcPr>
          <w:p w:rsidR="0073427F" w:rsidRPr="0073427F" w:rsidRDefault="0073427F" w:rsidP="0073427F">
            <w:pPr>
              <w:widowControl w:val="0"/>
              <w:tabs>
                <w:tab w:val="right" w:pos="1354"/>
                <w:tab w:val="left" w:pos="138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24,869,441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2. Учетная политика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Воздействие данного изменения учетной </w:t>
      </w:r>
      <w:proofErr w:type="gramStart"/>
      <w:r w:rsidRPr="0073427F">
        <w:rPr>
          <w:rFonts w:ascii="Tahoma" w:eastAsia="Times New Roman" w:hAnsi="Tahoma" w:cs="Tahoma"/>
          <w:color w:val="000000"/>
          <w:sz w:val="18"/>
          <w:szCs w:val="18"/>
          <w:lang w:eastAsia="ru-RU" w:bidi="ru-RU"/>
        </w:rPr>
        <w:t>политики на отчет</w:t>
      </w:r>
      <w:proofErr w:type="gramEnd"/>
      <w:r w:rsidRPr="0073427F">
        <w:rPr>
          <w:rFonts w:ascii="Tahoma" w:eastAsia="Times New Roman" w:hAnsi="Tahoma" w:cs="Tahoma"/>
          <w:color w:val="000000"/>
          <w:sz w:val="18"/>
          <w:szCs w:val="18"/>
          <w:lang w:eastAsia="ru-RU" w:bidi="ru-RU"/>
        </w:rPr>
        <w:t xml:space="preserve"> о совокупном доходе на 1 января 2011 года представлено ниже: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72" w:type="dxa"/>
        <w:tblLayout w:type="fixed"/>
        <w:tblCellMar>
          <w:left w:w="72" w:type="dxa"/>
          <w:right w:w="72" w:type="dxa"/>
        </w:tblCellMar>
        <w:tblLook w:val="0000" w:firstRow="0" w:lastRow="0" w:firstColumn="0" w:lastColumn="0" w:noHBand="0" w:noVBand="0"/>
      </w:tblPr>
      <w:tblGrid>
        <w:gridCol w:w="7217"/>
        <w:gridCol w:w="2233"/>
      </w:tblGrid>
      <w:tr w:rsidR="0073427F" w:rsidRPr="0073427F" w:rsidTr="0073427F">
        <w:tc>
          <w:tcPr>
            <w:tcW w:w="7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2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(Накопленные убытки)/нераспределенная прибыль</w:t>
            </w:r>
          </w:p>
        </w:tc>
      </w:tr>
      <w:tr w:rsidR="0073427F" w:rsidRPr="0073427F" w:rsidTr="0073427F">
        <w:tc>
          <w:tcPr>
            <w:tcW w:w="7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2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r>
      <w:tr w:rsidR="0073427F" w:rsidRPr="0073427F" w:rsidTr="0073427F">
        <w:tc>
          <w:tcPr>
            <w:tcW w:w="7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Остаток на 1 января 2011 г.</w:t>
            </w:r>
          </w:p>
        </w:tc>
        <w:tc>
          <w:tcPr>
            <w:tcW w:w="2233" w:type="dxa"/>
            <w:tcBorders>
              <w:top w:val="nil"/>
              <w:left w:val="nil"/>
              <w:bottom w:val="nil"/>
              <w:right w:val="nil"/>
            </w:tcBorders>
          </w:tcPr>
          <w:p w:rsidR="0073427F" w:rsidRPr="0073427F" w:rsidRDefault="0073427F" w:rsidP="0073427F">
            <w:pPr>
              <w:widowControl w:val="0"/>
              <w:tabs>
                <w:tab w:val="right" w:pos="2062"/>
                <w:tab w:val="left" w:pos="208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(2,622,232)</w:t>
            </w:r>
            <w:r w:rsidRPr="0073427F">
              <w:rPr>
                <w:rFonts w:ascii="Tahoma" w:eastAsia="Times New Roman" w:hAnsi="Tahoma" w:cs="Tahoma"/>
                <w:color w:val="000000"/>
                <w:sz w:val="18"/>
                <w:szCs w:val="18"/>
                <w:lang w:eastAsia="ru-RU" w:bidi="ru-RU"/>
              </w:rPr>
              <w:tab/>
            </w:r>
          </w:p>
        </w:tc>
      </w:tr>
      <w:tr w:rsidR="0073427F" w:rsidRPr="0073427F" w:rsidTr="0073427F">
        <w:tc>
          <w:tcPr>
            <w:tcW w:w="7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Корректировка в результате изменения учетной политики</w:t>
            </w:r>
          </w:p>
        </w:tc>
        <w:tc>
          <w:tcPr>
            <w:tcW w:w="2233" w:type="dxa"/>
            <w:tcBorders>
              <w:top w:val="nil"/>
              <w:left w:val="nil"/>
              <w:bottom w:val="nil"/>
              <w:right w:val="nil"/>
            </w:tcBorders>
          </w:tcPr>
          <w:p w:rsidR="0073427F" w:rsidRPr="0073427F" w:rsidRDefault="0073427F" w:rsidP="0073427F">
            <w:pPr>
              <w:widowControl w:val="0"/>
              <w:tabs>
                <w:tab w:val="right" w:pos="2062"/>
                <w:tab w:val="left" w:pos="208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27,491,673</w:t>
            </w:r>
            <w:r w:rsidRPr="0073427F">
              <w:rPr>
                <w:rFonts w:ascii="Tahoma" w:eastAsia="Times New Roman" w:hAnsi="Tahoma" w:cs="Tahoma"/>
                <w:color w:val="000000"/>
                <w:sz w:val="18"/>
                <w:szCs w:val="18"/>
                <w:lang w:eastAsia="ru-RU" w:bidi="ru-RU"/>
              </w:rPr>
              <w:tab/>
            </w:r>
          </w:p>
        </w:tc>
      </w:tr>
      <w:tr w:rsidR="0073427F" w:rsidRPr="0073427F" w:rsidTr="0073427F">
        <w:tc>
          <w:tcPr>
            <w:tcW w:w="7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Остаток на 1 января 2011 г. (скорректированная сумма) </w:t>
            </w:r>
          </w:p>
        </w:tc>
        <w:tc>
          <w:tcPr>
            <w:tcW w:w="2233" w:type="dxa"/>
            <w:tcBorders>
              <w:top w:val="nil"/>
              <w:left w:val="nil"/>
              <w:bottom w:val="nil"/>
              <w:right w:val="nil"/>
            </w:tcBorders>
          </w:tcPr>
          <w:p w:rsidR="0073427F" w:rsidRPr="0073427F" w:rsidRDefault="0073427F" w:rsidP="0073427F">
            <w:pPr>
              <w:widowControl w:val="0"/>
              <w:tabs>
                <w:tab w:val="right" w:pos="2062"/>
                <w:tab w:val="left" w:pos="20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24,869,441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Воздействие данного изменения учетной </w:t>
      </w:r>
      <w:proofErr w:type="gramStart"/>
      <w:r w:rsidRPr="0073427F">
        <w:rPr>
          <w:rFonts w:ascii="Tahoma" w:eastAsia="Times New Roman" w:hAnsi="Tahoma" w:cs="Tahoma"/>
          <w:color w:val="000000"/>
          <w:sz w:val="18"/>
          <w:szCs w:val="18"/>
          <w:lang w:eastAsia="ru-RU" w:bidi="ru-RU"/>
        </w:rPr>
        <w:t>политики на  отчет</w:t>
      </w:r>
      <w:proofErr w:type="gramEnd"/>
      <w:r w:rsidRPr="0073427F">
        <w:rPr>
          <w:rFonts w:ascii="Tahoma" w:eastAsia="Times New Roman" w:hAnsi="Tahoma" w:cs="Tahoma"/>
          <w:color w:val="000000"/>
          <w:sz w:val="18"/>
          <w:szCs w:val="18"/>
          <w:lang w:eastAsia="ru-RU" w:bidi="ru-RU"/>
        </w:rPr>
        <w:t xml:space="preserve"> о финансовом положении на 31 декабря 2011 года представлено ниже: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72" w:type="dxa"/>
        <w:tblLayout w:type="fixed"/>
        <w:tblCellMar>
          <w:left w:w="72" w:type="dxa"/>
          <w:right w:w="72" w:type="dxa"/>
        </w:tblCellMar>
        <w:tblLook w:val="0000" w:firstRow="0" w:lastRow="0" w:firstColumn="0" w:lastColumn="0" w:noHBand="0" w:noVBand="0"/>
      </w:tblPr>
      <w:tblGrid>
        <w:gridCol w:w="4524"/>
        <w:gridCol w:w="1513"/>
        <w:gridCol w:w="1729"/>
        <w:gridCol w:w="1514"/>
      </w:tblGrid>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Первоначально представленная сумма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Корректировка</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Скорректированные данные</w:t>
            </w: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Активы</w:t>
            </w: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Долгосрочные активы</w:t>
            </w: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513" w:type="dxa"/>
            <w:tcBorders>
              <w:top w:val="nil"/>
              <w:left w:val="nil"/>
              <w:bottom w:val="nil"/>
              <w:right w:val="nil"/>
            </w:tcBorders>
          </w:tcPr>
          <w:p w:rsidR="0073427F" w:rsidRPr="0073427F" w:rsidRDefault="0073427F" w:rsidP="0073427F">
            <w:pPr>
              <w:widowControl w:val="0"/>
              <w:tabs>
                <w:tab w:val="right" w:pos="1226"/>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779,687,552</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779,687,552</w:t>
            </w:r>
            <w:r w:rsidRPr="0073427F">
              <w:rPr>
                <w:rFonts w:ascii="Tahoma" w:eastAsia="Times New Roman" w:hAnsi="Tahoma" w:cs="Tahoma"/>
                <w:color w:val="000000"/>
                <w:sz w:val="18"/>
                <w:szCs w:val="18"/>
                <w:lang w:eastAsia="ru-RU" w:bidi="ru-RU"/>
              </w:rPr>
              <w:tab/>
            </w: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Инвестиции в дочерние предприятия</w:t>
            </w:r>
          </w:p>
        </w:tc>
        <w:tc>
          <w:tcPr>
            <w:tcW w:w="1513"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425,292,520</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(425,292,520)</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226"/>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Капитал</w:t>
            </w:r>
          </w:p>
        </w:tc>
        <w:tc>
          <w:tcPr>
            <w:tcW w:w="151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52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Нераспределенная прибыль</w:t>
            </w:r>
          </w:p>
        </w:tc>
        <w:tc>
          <w:tcPr>
            <w:tcW w:w="1513"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18,458,437</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354,395,032</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372,853,469</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Воздействие данного изменения учетной </w:t>
      </w:r>
      <w:proofErr w:type="gramStart"/>
      <w:r w:rsidRPr="0073427F">
        <w:rPr>
          <w:rFonts w:ascii="Tahoma" w:eastAsia="Times New Roman" w:hAnsi="Tahoma" w:cs="Tahoma"/>
          <w:color w:val="000000"/>
          <w:sz w:val="18"/>
          <w:szCs w:val="18"/>
          <w:lang w:eastAsia="ru-RU" w:bidi="ru-RU"/>
        </w:rPr>
        <w:t>политики на  отчет</w:t>
      </w:r>
      <w:proofErr w:type="gramEnd"/>
      <w:r w:rsidRPr="0073427F">
        <w:rPr>
          <w:rFonts w:ascii="Tahoma" w:eastAsia="Times New Roman" w:hAnsi="Tahoma" w:cs="Tahoma"/>
          <w:color w:val="000000"/>
          <w:sz w:val="18"/>
          <w:szCs w:val="18"/>
          <w:lang w:eastAsia="ru-RU" w:bidi="ru-RU"/>
        </w:rPr>
        <w:t xml:space="preserve"> о финансовом положении на 31 декабря 2011 года представлено ниже: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72" w:type="dxa"/>
        <w:tblLayout w:type="fixed"/>
        <w:tblCellMar>
          <w:left w:w="72" w:type="dxa"/>
          <w:right w:w="72" w:type="dxa"/>
        </w:tblCellMar>
        <w:tblLook w:val="0000" w:firstRow="0" w:lastRow="0" w:firstColumn="0" w:lastColumn="0" w:noHBand="0" w:noVBand="0"/>
      </w:tblPr>
      <w:tblGrid>
        <w:gridCol w:w="4461"/>
        <w:gridCol w:w="1514"/>
        <w:gridCol w:w="1729"/>
        <w:gridCol w:w="1514"/>
      </w:tblGrid>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Первоначально представленная сумма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Корректировка</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Скорректированные данные</w:t>
            </w:r>
          </w:p>
        </w:tc>
      </w:tr>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r>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за год</w:t>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21,080,669</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442"/>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21,080,669</w:t>
            </w:r>
            <w:r w:rsidRPr="0073427F">
              <w:rPr>
                <w:rFonts w:ascii="Tahoma" w:eastAsia="Times New Roman" w:hAnsi="Tahoma" w:cs="Tahoma"/>
                <w:color w:val="000000"/>
                <w:sz w:val="18"/>
                <w:szCs w:val="18"/>
                <w:lang w:eastAsia="ru-RU" w:bidi="ru-RU"/>
              </w:rPr>
              <w:tab/>
            </w:r>
          </w:p>
        </w:tc>
      </w:tr>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Корректировка в результате изменения учетной политики - прибыль от изменения справедливой стоимости</w:t>
            </w:r>
          </w:p>
        </w:tc>
        <w:tc>
          <w:tcPr>
            <w:tcW w:w="1514" w:type="dxa"/>
            <w:tcBorders>
              <w:top w:val="nil"/>
              <w:left w:val="nil"/>
              <w:bottom w:val="nil"/>
              <w:right w:val="nil"/>
            </w:tcBorders>
          </w:tcPr>
          <w:p w:rsidR="0073427F" w:rsidRPr="0073427F" w:rsidRDefault="0073427F" w:rsidP="0073427F">
            <w:pPr>
              <w:widowControl w:val="0"/>
              <w:tabs>
                <w:tab w:val="right" w:pos="1226"/>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326,903,359</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326,903,359</w:t>
            </w:r>
            <w:r w:rsidRPr="0073427F">
              <w:rPr>
                <w:rFonts w:ascii="Tahoma" w:eastAsia="Times New Roman" w:hAnsi="Tahoma" w:cs="Tahoma"/>
                <w:color w:val="000000"/>
                <w:sz w:val="18"/>
                <w:szCs w:val="18"/>
                <w:lang w:eastAsia="ru-RU" w:bidi="ru-RU"/>
              </w:rPr>
              <w:tab/>
            </w:r>
          </w:p>
        </w:tc>
      </w:tr>
      <w:tr w:rsidR="0073427F" w:rsidRPr="0073427F" w:rsidTr="0073427F">
        <w:tc>
          <w:tcPr>
            <w:tcW w:w="446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Прибыль за год (скорректированная сумма) </w:t>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21,080,669</w:t>
            </w:r>
            <w:r w:rsidRPr="0073427F">
              <w:rPr>
                <w:rFonts w:ascii="Tahoma" w:eastAsia="Times New Roman" w:hAnsi="Tahoma" w:cs="Tahoma"/>
                <w:color w:val="000000"/>
                <w:sz w:val="18"/>
                <w:szCs w:val="18"/>
                <w:lang w:eastAsia="ru-RU" w:bidi="ru-RU"/>
              </w:rPr>
              <w:tab/>
            </w:r>
          </w:p>
        </w:tc>
        <w:tc>
          <w:tcPr>
            <w:tcW w:w="1729" w:type="dxa"/>
            <w:tcBorders>
              <w:top w:val="nil"/>
              <w:left w:val="nil"/>
              <w:bottom w:val="nil"/>
              <w:right w:val="nil"/>
            </w:tcBorders>
          </w:tcPr>
          <w:p w:rsidR="0073427F" w:rsidRPr="0073427F" w:rsidRDefault="0073427F" w:rsidP="0073427F">
            <w:pPr>
              <w:widowControl w:val="0"/>
              <w:tabs>
                <w:tab w:val="right" w:pos="1558"/>
                <w:tab w:val="left" w:pos="158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326,903,359</w:t>
            </w:r>
            <w:r w:rsidRPr="0073427F">
              <w:rPr>
                <w:rFonts w:ascii="Tahoma" w:eastAsia="Times New Roman" w:hAnsi="Tahoma" w:cs="Tahoma"/>
                <w:color w:val="000000"/>
                <w:sz w:val="18"/>
                <w:szCs w:val="18"/>
                <w:lang w:eastAsia="ru-RU" w:bidi="ru-RU"/>
              </w:rPr>
              <w:tab/>
            </w:r>
          </w:p>
        </w:tc>
        <w:tc>
          <w:tcPr>
            <w:tcW w:w="1514" w:type="dxa"/>
            <w:tcBorders>
              <w:top w:val="nil"/>
              <w:left w:val="nil"/>
              <w:bottom w:val="nil"/>
              <w:right w:val="nil"/>
            </w:tcBorders>
          </w:tcPr>
          <w:p w:rsidR="0073427F" w:rsidRPr="0073427F" w:rsidRDefault="0073427F" w:rsidP="0073427F">
            <w:pPr>
              <w:widowControl w:val="0"/>
              <w:tabs>
                <w:tab w:val="right" w:pos="1342"/>
                <w:tab w:val="left" w:pos="136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347,984,028</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Воздействие данного изменения учетной </w:t>
      </w:r>
      <w:proofErr w:type="gramStart"/>
      <w:r w:rsidRPr="0073427F">
        <w:rPr>
          <w:rFonts w:ascii="Tahoma" w:eastAsia="Times New Roman" w:hAnsi="Tahoma" w:cs="Tahoma"/>
          <w:color w:val="000000"/>
          <w:sz w:val="18"/>
          <w:szCs w:val="18"/>
          <w:lang w:eastAsia="ru-RU" w:bidi="ru-RU"/>
        </w:rPr>
        <w:t>политики на отчет</w:t>
      </w:r>
      <w:proofErr w:type="gramEnd"/>
      <w:r w:rsidRPr="0073427F">
        <w:rPr>
          <w:rFonts w:ascii="Tahoma" w:eastAsia="Times New Roman" w:hAnsi="Tahoma" w:cs="Tahoma"/>
          <w:color w:val="000000"/>
          <w:sz w:val="18"/>
          <w:szCs w:val="18"/>
          <w:lang w:eastAsia="ru-RU" w:bidi="ru-RU"/>
        </w:rPr>
        <w:t xml:space="preserve"> о совокупном доходе на 31 декабря 2011 года представлено ниже: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72" w:type="dxa"/>
        <w:tblLayout w:type="fixed"/>
        <w:tblCellMar>
          <w:left w:w="72" w:type="dxa"/>
          <w:right w:w="72" w:type="dxa"/>
        </w:tblCellMar>
        <w:tblLook w:val="0000" w:firstRow="0" w:lastRow="0" w:firstColumn="0" w:lastColumn="0" w:noHBand="0" w:noVBand="0"/>
      </w:tblPr>
      <w:tblGrid>
        <w:gridCol w:w="7154"/>
        <w:gridCol w:w="2217"/>
      </w:tblGrid>
      <w:tr w:rsidR="0073427F" w:rsidRPr="0073427F" w:rsidTr="0073427F">
        <w:tc>
          <w:tcPr>
            <w:tcW w:w="71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(Накопленные убытки)/нераспределенная прибыль</w:t>
            </w:r>
          </w:p>
        </w:tc>
      </w:tr>
      <w:tr w:rsidR="0073427F" w:rsidRPr="0073427F" w:rsidTr="0073427F">
        <w:tc>
          <w:tcPr>
            <w:tcW w:w="71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2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Долл. США</w:t>
            </w:r>
          </w:p>
        </w:tc>
      </w:tr>
      <w:tr w:rsidR="0073427F" w:rsidRPr="0073427F" w:rsidTr="0073427F">
        <w:tc>
          <w:tcPr>
            <w:tcW w:w="71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Остаток на 31 декабря 2011 г.</w:t>
            </w:r>
          </w:p>
        </w:tc>
        <w:tc>
          <w:tcPr>
            <w:tcW w:w="2217" w:type="dxa"/>
            <w:tcBorders>
              <w:top w:val="nil"/>
              <w:left w:val="nil"/>
              <w:bottom w:val="nil"/>
              <w:right w:val="nil"/>
            </w:tcBorders>
          </w:tcPr>
          <w:p w:rsidR="0073427F" w:rsidRPr="0073427F" w:rsidRDefault="0073427F" w:rsidP="0073427F">
            <w:pPr>
              <w:widowControl w:val="0"/>
              <w:tabs>
                <w:tab w:val="right" w:pos="2045"/>
                <w:tab w:val="left" w:pos="2071"/>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18,458,437</w:t>
            </w:r>
            <w:r w:rsidRPr="0073427F">
              <w:rPr>
                <w:rFonts w:ascii="Tahoma" w:eastAsia="Times New Roman" w:hAnsi="Tahoma" w:cs="Tahoma"/>
                <w:color w:val="000000"/>
                <w:sz w:val="18"/>
                <w:szCs w:val="18"/>
                <w:lang w:eastAsia="ru-RU" w:bidi="ru-RU"/>
              </w:rPr>
              <w:tab/>
            </w:r>
          </w:p>
        </w:tc>
      </w:tr>
      <w:tr w:rsidR="0073427F" w:rsidRPr="0073427F" w:rsidTr="0073427F">
        <w:tc>
          <w:tcPr>
            <w:tcW w:w="71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Корректировка в результате изменения учетной политики</w:t>
            </w:r>
          </w:p>
        </w:tc>
        <w:tc>
          <w:tcPr>
            <w:tcW w:w="2217" w:type="dxa"/>
            <w:tcBorders>
              <w:top w:val="nil"/>
              <w:left w:val="nil"/>
              <w:bottom w:val="nil"/>
              <w:right w:val="nil"/>
            </w:tcBorders>
          </w:tcPr>
          <w:p w:rsidR="0073427F" w:rsidRPr="0073427F" w:rsidRDefault="0073427F" w:rsidP="0073427F">
            <w:pPr>
              <w:widowControl w:val="0"/>
              <w:tabs>
                <w:tab w:val="right" w:pos="2045"/>
                <w:tab w:val="left" w:pos="2071"/>
              </w:tabs>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354,395,032</w:t>
            </w:r>
            <w:r w:rsidRPr="0073427F">
              <w:rPr>
                <w:rFonts w:ascii="Tahoma" w:eastAsia="Times New Roman" w:hAnsi="Tahoma" w:cs="Tahoma"/>
                <w:color w:val="000000"/>
                <w:sz w:val="18"/>
                <w:szCs w:val="18"/>
                <w:lang w:eastAsia="ru-RU" w:bidi="ru-RU"/>
              </w:rPr>
              <w:tab/>
            </w:r>
          </w:p>
        </w:tc>
      </w:tr>
      <w:tr w:rsidR="0073427F" w:rsidRPr="0073427F" w:rsidTr="0073427F">
        <w:tc>
          <w:tcPr>
            <w:tcW w:w="71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Остаток на 31 декабря 2011 г. (скорректированная сумма) </w:t>
            </w:r>
          </w:p>
        </w:tc>
        <w:tc>
          <w:tcPr>
            <w:tcW w:w="2217" w:type="dxa"/>
            <w:tcBorders>
              <w:top w:val="nil"/>
              <w:left w:val="nil"/>
              <w:bottom w:val="nil"/>
              <w:right w:val="nil"/>
            </w:tcBorders>
          </w:tcPr>
          <w:p w:rsidR="0073427F" w:rsidRPr="0073427F" w:rsidRDefault="0073427F" w:rsidP="0073427F">
            <w:pPr>
              <w:widowControl w:val="0"/>
              <w:tabs>
                <w:tab w:val="right" w:pos="2045"/>
                <w:tab w:val="left" w:pos="2071"/>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372,853,469</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Данная корректировка имела воздействие на информацию в Примечании 16.</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 xml:space="preserve">3. Управление финансовыми рисками </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Факторы финансового риска</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подвержена риску изменения процентной ставки, кредитному риску, риску ликвидности, валютному риску и риску капитала, связанному с финансовыми инструментами. Политика по управлению данными рисками, применяемая Компанией, описана ниже.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3.1 Риск процентной ставки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принимает на себя риск, связанный с влиянием колебаний рыночных процентных ставок на ее финансовое положение и потоки денежных средств. Такие колебания могут повышать уровень процентной маржи, однако в случае неожиданного изменения процентных ставок процентная маржа может снижаться или приводить к возникновению убытков.</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таблице ниже отражены общие суммы финансовых активов и обязательств Компании </w:t>
      </w:r>
      <w:proofErr w:type="gramStart"/>
      <w:r w:rsidRPr="0073427F">
        <w:rPr>
          <w:rFonts w:ascii="Tahoma" w:eastAsia="Times New Roman" w:hAnsi="Tahoma" w:cs="Tahoma"/>
          <w:color w:val="000000"/>
          <w:sz w:val="18"/>
          <w:szCs w:val="18"/>
          <w:lang w:eastAsia="ru-RU" w:bidi="ru-RU"/>
        </w:rPr>
        <w:t>по балансовой стоимости в разбивке по датам пересмотра процентных ставок в соответствии с договорами</w:t>
      </w:r>
      <w:proofErr w:type="gramEnd"/>
      <w:r w:rsidRPr="0073427F">
        <w:rPr>
          <w:rFonts w:ascii="Tahoma" w:eastAsia="Times New Roman" w:hAnsi="Tahoma" w:cs="Tahoma"/>
          <w:color w:val="000000"/>
          <w:sz w:val="18"/>
          <w:szCs w:val="18"/>
          <w:lang w:eastAsia="ru-RU" w:bidi="ru-RU"/>
        </w:rPr>
        <w:t xml:space="preserve"> или сроками погашения, в зависимости от того, какая из указанных дат является более ранней.</w:t>
      </w:r>
    </w:p>
    <w:tbl>
      <w:tblPr>
        <w:tblW w:w="0" w:type="auto"/>
        <w:tblInd w:w="39" w:type="dxa"/>
        <w:tblLayout w:type="fixed"/>
        <w:tblCellMar>
          <w:left w:w="39" w:type="dxa"/>
          <w:right w:w="39" w:type="dxa"/>
        </w:tblCellMar>
        <w:tblLook w:val="0000" w:firstRow="0" w:lastRow="0" w:firstColumn="0" w:lastColumn="0" w:noHBand="0" w:noVBand="0"/>
      </w:tblPr>
      <w:tblGrid>
        <w:gridCol w:w="3945"/>
        <w:gridCol w:w="1514"/>
        <w:gridCol w:w="1485"/>
        <w:gridCol w:w="1412"/>
        <w:gridCol w:w="1383"/>
      </w:tblGrid>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Менее 1 года</w:t>
            </w:r>
          </w:p>
        </w:tc>
        <w:tc>
          <w:tcPr>
            <w:tcW w:w="1485" w:type="dxa"/>
            <w:tcBorders>
              <w:top w:val="nil"/>
              <w:left w:val="nil"/>
              <w:bottom w:val="nil"/>
              <w:right w:val="nil"/>
            </w:tcBorders>
            <w:vAlign w:val="bottom"/>
          </w:tcPr>
          <w:p w:rsidR="0073427F" w:rsidRPr="0073427F" w:rsidRDefault="0073427F" w:rsidP="0073427F">
            <w:pPr>
              <w:widowControl w:val="0"/>
              <w:tabs>
                <w:tab w:val="right" w:pos="1447"/>
                <w:tab w:val="left" w:pos="147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От 1 до 5 лет</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409"/>
                <w:tab w:val="left" w:pos="1435"/>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Свыше 5 лет</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Итого</w:t>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1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долл. США</w:t>
            </w:r>
          </w:p>
        </w:tc>
        <w:tc>
          <w:tcPr>
            <w:tcW w:w="148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долл. США</w:t>
            </w: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долл. США</w:t>
            </w: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31 декабря 2012 г. </w:t>
            </w:r>
          </w:p>
        </w:tc>
        <w:tc>
          <w:tcPr>
            <w:tcW w:w="151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8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w:t>
            </w:r>
          </w:p>
        </w:tc>
        <w:tc>
          <w:tcPr>
            <w:tcW w:w="1514" w:type="dxa"/>
            <w:tcBorders>
              <w:top w:val="nil"/>
              <w:left w:val="nil"/>
              <w:bottom w:val="nil"/>
              <w:right w:val="nil"/>
            </w:tcBorders>
            <w:vAlign w:val="bottom"/>
          </w:tcPr>
          <w:p w:rsidR="0073427F" w:rsidRPr="0073427F" w:rsidRDefault="0073427F" w:rsidP="0073427F">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17,781,224</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294,162,727</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311,943,951</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обязательства</w:t>
            </w:r>
          </w:p>
        </w:tc>
        <w:tc>
          <w:tcPr>
            <w:tcW w:w="1514" w:type="dxa"/>
            <w:tcBorders>
              <w:top w:val="nil"/>
              <w:left w:val="nil"/>
              <w:bottom w:val="nil"/>
              <w:right w:val="nil"/>
            </w:tcBorders>
            <w:vAlign w:val="bottom"/>
          </w:tcPr>
          <w:p w:rsidR="0073427F" w:rsidRPr="0073427F" w:rsidRDefault="0073427F" w:rsidP="0073427F">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(25,272,787)</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(294,894,593)</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(320,167,380)</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Эффект от процентных производных финансовых инструментов</w:t>
            </w:r>
          </w:p>
        </w:tc>
        <w:tc>
          <w:tcPr>
            <w:tcW w:w="1514" w:type="dxa"/>
            <w:tcBorders>
              <w:top w:val="nil"/>
              <w:left w:val="nil"/>
              <w:bottom w:val="nil"/>
              <w:right w:val="nil"/>
            </w:tcBorders>
            <w:vAlign w:val="bottom"/>
          </w:tcPr>
          <w:p w:rsidR="0073427F" w:rsidRPr="0073427F" w:rsidRDefault="0073427F" w:rsidP="0073427F">
            <w:pPr>
              <w:widowControl w:val="0"/>
              <w:tabs>
                <w:tab w:val="right" w:pos="1291"/>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(4,132,419)</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(4,132,419)</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tabs>
                <w:tab w:val="left" w:pos="680"/>
                <w:tab w:val="left" w:pos="1360"/>
                <w:tab w:val="left" w:pos="2040"/>
                <w:tab w:val="left" w:pos="2721"/>
                <w:tab w:val="left" w:pos="3401"/>
                <w:tab w:val="left" w:pos="4081"/>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Чистый разрыв по процентным ставкам на 31 декабря 2012 г.</w:t>
            </w:r>
            <w:r w:rsidRPr="0073427F">
              <w:rPr>
                <w:rFonts w:ascii="Tahoma" w:eastAsia="Times New Roman" w:hAnsi="Tahoma" w:cs="Tahoma"/>
                <w:color w:val="000000"/>
                <w:sz w:val="18"/>
                <w:szCs w:val="18"/>
                <w:lang w:eastAsia="ru-RU" w:bidi="ru-RU"/>
              </w:rPr>
              <w:t xml:space="preserve"> </w:t>
            </w:r>
          </w:p>
        </w:tc>
        <w:tc>
          <w:tcPr>
            <w:tcW w:w="1514"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(7,491,563)</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(4,864,285)</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274"/>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390"/>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(12,355,848)</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2011 г.</w:t>
            </w:r>
            <w:r w:rsidRPr="0073427F">
              <w:rPr>
                <w:rFonts w:ascii="Tahoma" w:eastAsia="Times New Roman" w:hAnsi="Tahoma" w:cs="Tahoma"/>
                <w:color w:val="000000"/>
                <w:sz w:val="18"/>
                <w:szCs w:val="18"/>
                <w:lang w:eastAsia="ru-RU" w:bidi="ru-RU"/>
              </w:rPr>
              <w:t xml:space="preserve"> </w:t>
            </w:r>
          </w:p>
        </w:tc>
        <w:tc>
          <w:tcPr>
            <w:tcW w:w="1514"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85"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8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активы</w:t>
            </w:r>
          </w:p>
        </w:tc>
        <w:tc>
          <w:tcPr>
            <w:tcW w:w="1514" w:type="dxa"/>
            <w:tcBorders>
              <w:top w:val="nil"/>
              <w:left w:val="nil"/>
              <w:bottom w:val="nil"/>
              <w:right w:val="nil"/>
            </w:tcBorders>
            <w:vAlign w:val="bottom"/>
          </w:tcPr>
          <w:p w:rsidR="0073427F" w:rsidRPr="0073427F" w:rsidRDefault="0073427F" w:rsidP="0073427F">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10,122,155</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223,355,142</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233,477,297</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Финансовые обязательства</w:t>
            </w:r>
          </w:p>
        </w:tc>
        <w:tc>
          <w:tcPr>
            <w:tcW w:w="1514" w:type="dxa"/>
            <w:tcBorders>
              <w:top w:val="nil"/>
              <w:left w:val="nil"/>
              <w:bottom w:val="nil"/>
              <w:right w:val="nil"/>
            </w:tcBorders>
            <w:vAlign w:val="bottom"/>
          </w:tcPr>
          <w:p w:rsidR="0073427F" w:rsidRPr="0073427F" w:rsidRDefault="0073427F" w:rsidP="0073427F">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(44,338,000)</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(173,617,721)</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(217,955,721)</w:t>
            </w:r>
            <w:r w:rsidRPr="0073427F">
              <w:rPr>
                <w:rFonts w:ascii="Tahoma" w:eastAsia="Times New Roman" w:hAnsi="Tahoma" w:cs="Tahoma"/>
                <w:color w:val="000000"/>
                <w:sz w:val="18"/>
                <w:szCs w:val="18"/>
                <w:lang w:eastAsia="ru-RU" w:bidi="ru-RU"/>
              </w:rPr>
              <w:tab/>
            </w:r>
          </w:p>
        </w:tc>
      </w:tr>
      <w:tr w:rsidR="0073427F" w:rsidRPr="0073427F" w:rsidTr="0073427F">
        <w:tc>
          <w:tcPr>
            <w:tcW w:w="3945" w:type="dxa"/>
            <w:tcBorders>
              <w:top w:val="nil"/>
              <w:left w:val="nil"/>
              <w:bottom w:val="nil"/>
              <w:right w:val="nil"/>
            </w:tcBorders>
          </w:tcPr>
          <w:p w:rsidR="0073427F" w:rsidRPr="0073427F" w:rsidRDefault="0073427F" w:rsidP="0073427F">
            <w:pPr>
              <w:widowControl w:val="0"/>
              <w:tabs>
                <w:tab w:val="left" w:pos="719"/>
                <w:tab w:val="left" w:pos="1439"/>
                <w:tab w:val="left" w:pos="2159"/>
                <w:tab w:val="left" w:pos="2879"/>
                <w:tab w:val="left" w:pos="3599"/>
                <w:tab w:val="left" w:pos="4319"/>
              </w:tabs>
              <w:autoSpaceDE w:val="0"/>
              <w:autoSpaceDN w:val="0"/>
              <w:adjustRightInd w:val="0"/>
              <w:spacing w:after="0" w:line="360" w:lineRule="auto"/>
              <w:rPr>
                <w:rFonts w:ascii="Tahoma" w:eastAsia="Times New Roman" w:hAnsi="Tahoma" w:cs="Tahoma"/>
                <w:color w:val="000000"/>
                <w:sz w:val="18"/>
                <w:szCs w:val="18"/>
                <w:lang w:eastAsia="ru-RU" w:bidi="ru-RU"/>
              </w:rPr>
            </w:pPr>
            <w:r w:rsidRPr="0073427F">
              <w:rPr>
                <w:rFonts w:ascii="Tahoma" w:eastAsia="Times New Roman" w:hAnsi="Tahoma" w:cs="Tahoma"/>
                <w:bCs/>
                <w:color w:val="000000"/>
                <w:sz w:val="18"/>
                <w:szCs w:val="18"/>
                <w:lang w:eastAsia="ru-RU" w:bidi="ru-RU"/>
              </w:rPr>
              <w:t xml:space="preserve"> </w:t>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t>Чистый разрыв по процентным ставкам на 31 декабря 2011 г.</w:t>
            </w:r>
            <w:r w:rsidRPr="0073427F">
              <w:rPr>
                <w:rFonts w:ascii="Tahoma" w:eastAsia="Times New Roman" w:hAnsi="Tahoma" w:cs="Tahoma"/>
                <w:b/>
                <w:bCs/>
                <w:color w:val="000000"/>
                <w:sz w:val="18"/>
                <w:szCs w:val="18"/>
                <w:lang w:eastAsia="ru-RU" w:bidi="ru-RU"/>
              </w:rPr>
              <w:tab/>
            </w:r>
          </w:p>
        </w:tc>
        <w:tc>
          <w:tcPr>
            <w:tcW w:w="1514" w:type="dxa"/>
            <w:tcBorders>
              <w:top w:val="nil"/>
              <w:left w:val="nil"/>
              <w:bottom w:val="nil"/>
              <w:right w:val="nil"/>
            </w:tcBorders>
            <w:vAlign w:val="bottom"/>
          </w:tcPr>
          <w:p w:rsidR="0073427F" w:rsidRPr="0073427F" w:rsidRDefault="0073427F" w:rsidP="0073427F">
            <w:pPr>
              <w:widowControl w:val="0"/>
              <w:tabs>
                <w:tab w:val="right" w:pos="1406"/>
                <w:tab w:val="left" w:pos="1432"/>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(34,215,845)</w:t>
            </w:r>
            <w:r w:rsidRPr="0073427F">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3427F" w:rsidRPr="0073427F" w:rsidRDefault="0073427F" w:rsidP="0073427F">
            <w:pPr>
              <w:widowControl w:val="0"/>
              <w:tabs>
                <w:tab w:val="right" w:pos="1378"/>
                <w:tab w:val="left" w:pos="1404"/>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49,737,421</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3427F" w:rsidRPr="0073427F" w:rsidRDefault="0073427F" w:rsidP="0073427F">
            <w:pPr>
              <w:widowControl w:val="0"/>
              <w:tabs>
                <w:tab w:val="right" w:pos="1277"/>
                <w:tab w:val="left" w:pos="1303"/>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15,521,576</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Для минимизации риска изменения процентной ставки руководство Группы предпринимает действия, направленные на следующее: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поддержание средней процентной ставки ниже ожидаемого уровня верхней предельной ставки, если проект будет осуществляться с высокой долей заемных средств;</w:t>
      </w: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поддержание оптимального соотношения плавающей и фиксированной процентной ставки финансирования для всех финансовых обязательств;</w:t>
      </w: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использование свопов с изменением плавающей ставки на фиксированную ставку. </w:t>
      </w:r>
      <w:r w:rsidRPr="0073427F">
        <w:rPr>
          <w:rFonts w:ascii="Tahoma" w:eastAsia="Times New Roman" w:hAnsi="Tahoma" w:cs="Tahoma"/>
          <w:color w:val="000000"/>
          <w:sz w:val="18"/>
          <w:szCs w:val="18"/>
          <w:lang w:eastAsia="ru-RU" w:bidi="ru-RU"/>
        </w:rPr>
        <w:noBreakHyphen/>
        <w:t xml:space="preserve"> Экономический эффект свопа процентной ставки заключается в конвертации заемных сре</w:t>
      </w:r>
      <w:proofErr w:type="gramStart"/>
      <w:r w:rsidRPr="0073427F">
        <w:rPr>
          <w:rFonts w:ascii="Tahoma" w:eastAsia="Times New Roman" w:hAnsi="Tahoma" w:cs="Tahoma"/>
          <w:color w:val="000000"/>
          <w:sz w:val="18"/>
          <w:szCs w:val="18"/>
          <w:lang w:eastAsia="ru-RU" w:bidi="ru-RU"/>
        </w:rPr>
        <w:t>дств с пл</w:t>
      </w:r>
      <w:proofErr w:type="gramEnd"/>
      <w:r w:rsidRPr="0073427F">
        <w:rPr>
          <w:rFonts w:ascii="Tahoma" w:eastAsia="Times New Roman" w:hAnsi="Tahoma" w:cs="Tahoma"/>
          <w:color w:val="000000"/>
          <w:sz w:val="18"/>
          <w:szCs w:val="18"/>
          <w:lang w:eastAsia="ru-RU" w:bidi="ru-RU"/>
        </w:rPr>
        <w:t>авающей процентной ставкой в заемные средства с фиксированной процентной ставкой (Примечания 15 и 24).</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Риск изменения процентной ставки Компании связан, в основном, с </w:t>
      </w:r>
      <w:proofErr w:type="gramStart"/>
      <w:r w:rsidRPr="0073427F">
        <w:rPr>
          <w:rFonts w:ascii="Tahoma" w:eastAsia="Times New Roman" w:hAnsi="Tahoma" w:cs="Tahoma"/>
          <w:color w:val="000000"/>
          <w:sz w:val="18"/>
          <w:szCs w:val="18"/>
          <w:lang w:eastAsia="ru-RU" w:bidi="ru-RU"/>
        </w:rPr>
        <w:t>заемным</w:t>
      </w:r>
      <w:proofErr w:type="gramEnd"/>
      <w:r w:rsidRPr="0073427F">
        <w:rPr>
          <w:rFonts w:ascii="Tahoma" w:eastAsia="Times New Roman" w:hAnsi="Tahoma" w:cs="Tahoma"/>
          <w:color w:val="000000"/>
          <w:sz w:val="18"/>
          <w:szCs w:val="18"/>
          <w:lang w:eastAsia="ru-RU" w:bidi="ru-RU"/>
        </w:rPr>
        <w:t xml:space="preserve"> средствами. Данный риск возникает главным образом в результате (1) предоставления займов с плавающей процентной ставкой и (2) необходимости рефинансирования займов, по которым истекает период до погашения. На 31 декабря 2012 </w:t>
      </w:r>
      <w:proofErr w:type="gramStart"/>
      <w:r w:rsidRPr="0073427F">
        <w:rPr>
          <w:rFonts w:ascii="Tahoma" w:eastAsia="Times New Roman" w:hAnsi="Tahoma" w:cs="Tahoma"/>
          <w:color w:val="000000"/>
          <w:sz w:val="18"/>
          <w:szCs w:val="18"/>
          <w:lang w:eastAsia="ru-RU" w:bidi="ru-RU"/>
        </w:rPr>
        <w:t>года</w:t>
      </w:r>
      <w:proofErr w:type="gramEnd"/>
      <w:r w:rsidRPr="0073427F">
        <w:rPr>
          <w:rFonts w:ascii="Tahoma" w:eastAsia="Times New Roman" w:hAnsi="Tahoma" w:cs="Tahoma"/>
          <w:color w:val="000000"/>
          <w:sz w:val="18"/>
          <w:szCs w:val="18"/>
          <w:lang w:eastAsia="ru-RU" w:bidi="ru-RU"/>
        </w:rPr>
        <w:t xml:space="preserve"> если процентные ставки по займам Компании были бы на 200 базисных пунктов выше (ниже), при том, что все другие переменные характеристики остались бы неизменными, прибыль до уплаты налога на прибыль составила бы на 6 403 тысячи долларов США меньше (больше) (2011 г.: на 4 359 тысяч долларов США) меньше (больше).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3.2 Кредитный риск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Кредитный риск связан с невыполнением контрагентами своих обязательств, что может привести к уменьшению суммы будущих денежных потоков, генерируемых финансовыми активами, имеющимися в наличии на отчетную дату. Остатки денежных средств размещены в финансовых учреждениях, имеющих высокий кредитный рейтинг, и Компания имеет политику для ограничения кредитного риска финансовых учреждений. Информация о риске, связанном с Банком Кипра, представлена в Примечании 30.</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3. Управление финансовыми рисками (продолжение)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3.3 Риск ликвидности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Риск ликвидности представляет собой риск несовпадения сроков требования по активам и обязательствам. Несовпадение данных позиций потенциально повышает прибыльность деятельности, а вместе с этим одновременно повышается риск получения убытков. Компания применяет специальные процедуры, предназначенные для минимизации убытков, в том числе путем обеспечения адекватного уровня денежных потоков и прочих высоколиквидных краткосрочных активов.</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 таблице ниже представлен анализ финансовых обязательств по срокам погашения, включая расчетные процентные платежи:</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551"/>
        <w:gridCol w:w="1139"/>
        <w:gridCol w:w="1140"/>
        <w:gridCol w:w="1139"/>
        <w:gridCol w:w="1140"/>
        <w:gridCol w:w="1139"/>
        <w:gridCol w:w="1140"/>
      </w:tblGrid>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2012 г.</w:t>
            </w:r>
          </w:p>
        </w:tc>
        <w:tc>
          <w:tcPr>
            <w:tcW w:w="1139" w:type="dxa"/>
            <w:tcBorders>
              <w:top w:val="nil"/>
              <w:left w:val="nil"/>
              <w:bottom w:val="nil"/>
              <w:right w:val="nil"/>
            </w:tcBorders>
            <w:vAlign w:val="bottom"/>
          </w:tcPr>
          <w:p w:rsidR="0073427F" w:rsidRPr="0073427F" w:rsidRDefault="0073427F" w:rsidP="0073427F">
            <w:pPr>
              <w:widowControl w:val="0"/>
              <w:tabs>
                <w:tab w:val="right" w:pos="1373"/>
                <w:tab w:val="left" w:pos="1399"/>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Балансовая стоимость</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757"/>
                <w:tab w:val="left" w:pos="178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Договорные потоки денежных средств</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284"/>
                <w:tab w:val="left" w:pos="131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 месяца или менее</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716"/>
                <w:tab w:val="left" w:pos="174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От 3 до 12 месяцев</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447"/>
                <w:tab w:val="left" w:pos="147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От 1 до 5 лет</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409"/>
                <w:tab w:val="left" w:pos="1435"/>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Свыше 5 лет</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Банковские кредиты</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160,148,841</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198,330,391</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10,200,390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188,130,001</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Прочие займы</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15,265,000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16,825,000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16,825,000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Торговая и прочая кредиторская задолженность</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6,660,717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6,660,717</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6,660,717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36,982,339</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36,981,042</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36,981,042</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связанных сторон</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144,753,539</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195,769,626</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195,769,626</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363,810,436</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454,566,776</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53,842,149</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16,825,000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383,899,627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551"/>
        <w:gridCol w:w="1139"/>
        <w:gridCol w:w="1140"/>
        <w:gridCol w:w="1139"/>
        <w:gridCol w:w="1140"/>
        <w:gridCol w:w="1139"/>
        <w:gridCol w:w="1140"/>
      </w:tblGrid>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2011 г.</w:t>
            </w:r>
          </w:p>
        </w:tc>
        <w:tc>
          <w:tcPr>
            <w:tcW w:w="1139" w:type="dxa"/>
            <w:tcBorders>
              <w:top w:val="nil"/>
              <w:left w:val="nil"/>
              <w:bottom w:val="nil"/>
              <w:right w:val="nil"/>
            </w:tcBorders>
            <w:vAlign w:val="bottom"/>
          </w:tcPr>
          <w:p w:rsidR="0073427F" w:rsidRPr="0073427F" w:rsidRDefault="0073427F" w:rsidP="0073427F">
            <w:pPr>
              <w:widowControl w:val="0"/>
              <w:tabs>
                <w:tab w:val="right" w:pos="1373"/>
                <w:tab w:val="left" w:pos="1399"/>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Балансовая стоимость</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757"/>
                <w:tab w:val="left" w:pos="178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Договорные потоки денежных средств</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284"/>
                <w:tab w:val="left" w:pos="131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 месяца или менее</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716"/>
                <w:tab w:val="left" w:pos="1742"/>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От 3 до 12 месяцев</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447"/>
                <w:tab w:val="left" w:pos="1473"/>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От 1 до 5 лет</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409"/>
                <w:tab w:val="left" w:pos="1435"/>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Свыше 5 лет</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140"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Банковские кредиты</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111,874,090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149,319,190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12,412,372</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136,906,818</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Краткосрочные кредиты и займы</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3,669,140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3,669,140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3,669,140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Торговая и прочая кредиторская задолженность</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4,051,007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4,051,007</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4,051,007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30,031,782</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30,031,782</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30,031,782</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дочерних предприятий</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48,453,217</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52,535,585</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52,535,585</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связанных сторон</w:t>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53,959,274</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76,670,743</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76,670,743</w:t>
            </w:r>
            <w:r w:rsidRPr="0073427F">
              <w:rPr>
                <w:rFonts w:ascii="Tahoma" w:eastAsia="Times New Roman" w:hAnsi="Tahoma" w:cs="Tahoma"/>
                <w:color w:val="000000"/>
                <w:sz w:val="18"/>
                <w:szCs w:val="18"/>
                <w:lang w:eastAsia="ru-RU" w:bidi="ru-RU"/>
              </w:rPr>
              <w:tab/>
            </w:r>
          </w:p>
        </w:tc>
      </w:tr>
      <w:tr w:rsidR="0073427F" w:rsidRPr="0073427F" w:rsidTr="0073427F">
        <w:tc>
          <w:tcPr>
            <w:tcW w:w="2551"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252,038,510</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316,277,447</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37,751,929</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12,412,372</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189,442,403</w:t>
            </w:r>
            <w:r w:rsidRPr="0073427F">
              <w:rPr>
                <w:rFonts w:ascii="Tahoma" w:eastAsia="Times New Roman" w:hAnsi="Tahoma" w:cs="Tahoma"/>
                <w:color w:val="000000"/>
                <w:sz w:val="18"/>
                <w:szCs w:val="18"/>
                <w:lang w:eastAsia="ru-RU" w:bidi="ru-RU"/>
              </w:rPr>
              <w:tab/>
            </w:r>
          </w:p>
        </w:tc>
        <w:tc>
          <w:tcPr>
            <w:tcW w:w="1140" w:type="dxa"/>
            <w:tcBorders>
              <w:top w:val="nil"/>
              <w:left w:val="nil"/>
              <w:bottom w:val="nil"/>
              <w:right w:val="nil"/>
            </w:tcBorders>
            <w:vAlign w:val="bottom"/>
          </w:tcPr>
          <w:p w:rsidR="0073427F" w:rsidRPr="0073427F" w:rsidRDefault="0073427F" w:rsidP="0073427F">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76,670,743</w:t>
            </w:r>
            <w:r w:rsidRPr="0073427F">
              <w:rPr>
                <w:rFonts w:ascii="Tahoma" w:eastAsia="Times New Roman" w:hAnsi="Tahoma" w:cs="Tahoma"/>
                <w:color w:val="000000"/>
                <w:sz w:val="18"/>
                <w:szCs w:val="18"/>
                <w:lang w:eastAsia="ru-RU" w:bidi="ru-RU"/>
              </w:rPr>
              <w:tab/>
            </w:r>
          </w:p>
        </w:tc>
      </w:tr>
    </w:tbl>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3.4 Валютный риск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Валютный риск представляет собой риск изменения стоимости финансовых инструментов в связи с изменением обменных курсов валют. Валютный риск возникает в том случае, когда срочные коммерческие сделки и отражаемые активы и обязательства деноминированы в валюте, отличной от валюты представления финансовой отчетности Компании. Компания подвержена валютному риску, связанному с различными иностранными валютами, в основном евро и рублями. Руководство Компании контролирует изменения валютных курсов на непрерывной основе и предпринимает соответствующие действия для минимизации риска.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3. Управление финансовыми рисками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 таблице ниже представлен общий анализ валютного риска Компании:</w:t>
      </w:r>
    </w:p>
    <w:tbl>
      <w:tblPr>
        <w:tblW w:w="0" w:type="auto"/>
        <w:tblInd w:w="39" w:type="dxa"/>
        <w:tblLayout w:type="fixed"/>
        <w:tblCellMar>
          <w:left w:w="39" w:type="dxa"/>
          <w:right w:w="39" w:type="dxa"/>
        </w:tblCellMar>
        <w:tblLook w:val="0000" w:firstRow="0" w:lastRow="0" w:firstColumn="0" w:lastColumn="0" w:noHBand="0" w:noVBand="0"/>
      </w:tblPr>
      <w:tblGrid>
        <w:gridCol w:w="5544"/>
        <w:gridCol w:w="1281"/>
        <w:gridCol w:w="1282"/>
        <w:gridCol w:w="1281"/>
      </w:tblGrid>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2012 г.</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Евро</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81"/>
                <w:tab w:val="left" w:pos="1207"/>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Российские рубли</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865"/>
                <w:tab w:val="left" w:pos="1891"/>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Фунты стерлингов</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Активы </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Средства в банке</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1,505</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37,566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по займам</w:t>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9,603,430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615,946</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11,987,072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1,814</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617,451</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21,628,068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1,814</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Обязательства </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Кредиторы и начисления</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(104,283)</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(14,391)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(96,276)</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по займам</w:t>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(105,789,473)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(104,283)</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(105,803,864)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(96,276)</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Чистая подверженность риску</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513,168</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(84,175,796)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(94,462)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5544"/>
        <w:gridCol w:w="1281"/>
        <w:gridCol w:w="1282"/>
        <w:gridCol w:w="1281"/>
      </w:tblGrid>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2011 г.</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Евро</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81"/>
                <w:tab w:val="left" w:pos="1207"/>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Российские рубли</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865"/>
                <w:tab w:val="left" w:pos="1891"/>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Фунты стерлингов</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Активы </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Средства в банке</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1,764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11,317,221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по займам</w:t>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47,555,158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1,764</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58,872,379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Обязательства </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Кредиторы и начисления</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(66,601)</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(503)</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по займам</w:t>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(45,959,274)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(66,601)</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(45,959,360)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(503)</w:t>
            </w:r>
            <w:r w:rsidRPr="0073427F">
              <w:rPr>
                <w:rFonts w:ascii="Tahoma" w:eastAsia="Times New Roman" w:hAnsi="Tahoma" w:cs="Tahoma"/>
                <w:color w:val="000000"/>
                <w:sz w:val="18"/>
                <w:szCs w:val="18"/>
                <w:lang w:eastAsia="ru-RU" w:bidi="ru-RU"/>
              </w:rPr>
              <w:tab/>
            </w:r>
          </w:p>
        </w:tc>
      </w:tr>
      <w:tr w:rsidR="0073427F" w:rsidRPr="0073427F" w:rsidTr="0073427F">
        <w:tc>
          <w:tcPr>
            <w:tcW w:w="5544"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Чистая подверженность риску</w:t>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(64,837)</w:t>
            </w:r>
            <w:r w:rsidRPr="0073427F">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12,913,019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(503)</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u w:val="single"/>
          <w:lang w:eastAsia="ru-RU" w:bidi="ru-RU"/>
        </w:rPr>
        <w:t>Анализ чувствительности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 состоянию на 31 декабря 2012 г. укрепление доллара США на 10% относительно следующих валют привело бы к увеличению (уменьшению) капитала и прибыли или убытка на суммы, указанные ниже. Этот анализ основан на допущении о том, что все прочие переменные характеристики, в частности</w:t>
      </w:r>
      <w:proofErr w:type="gramStart"/>
      <w:r w:rsidRPr="0073427F">
        <w:rPr>
          <w:rFonts w:ascii="Tahoma" w:eastAsia="Times New Roman" w:hAnsi="Tahoma" w:cs="Tahoma"/>
          <w:color w:val="000000"/>
          <w:sz w:val="18"/>
          <w:szCs w:val="18"/>
          <w:lang w:eastAsia="ru-RU" w:bidi="ru-RU"/>
        </w:rPr>
        <w:t>,</w:t>
      </w:r>
      <w:proofErr w:type="gramEnd"/>
      <w:r w:rsidRPr="0073427F">
        <w:rPr>
          <w:rFonts w:ascii="Tahoma" w:eastAsia="Times New Roman" w:hAnsi="Tahoma" w:cs="Tahoma"/>
          <w:color w:val="000000"/>
          <w:sz w:val="18"/>
          <w:szCs w:val="18"/>
          <w:lang w:eastAsia="ru-RU" w:bidi="ru-RU"/>
        </w:rPr>
        <w:t xml:space="preserve"> процентные ставки, остаются неизменными. При снижении курса доллара США относительно соответствующей валюты на 10% будет наблюдаться аналогичный, но противоположный по знаку эффект на прибыль и капитал.</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692" w:type="dxa"/>
            <w:gridSpan w:val="2"/>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Прибыль или убыток</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Евро</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51,317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6,484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Фунты стерлингов</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(9,446)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Российские рубли</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(8,417,580)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(1,291,302)</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(8,375,709)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(1,284,768)</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36"/>
          <w:footerReference w:type="default" r:id="rId37"/>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3.5 Управление риском капитала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Задачей Компании в области управления капиталом является обеспечение способности Компании продолжать непрерывную деятельность в целях сохранения доходности капитала для акционеров и поддержания оптимальной структуры капитала для снижения его стоимости.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Для поддержания и регулирования структуры капитала Компания может варьировать сумму дивидендов, выплачиваемых акционерам, возвращать капитал акционерам или выпускать новые акции.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Компания осуществляет </w:t>
      </w:r>
      <w:proofErr w:type="gramStart"/>
      <w:r w:rsidRPr="0073427F">
        <w:rPr>
          <w:rFonts w:ascii="Tahoma" w:eastAsia="Times New Roman" w:hAnsi="Tahoma" w:cs="Tahoma"/>
          <w:color w:val="000000"/>
          <w:sz w:val="18"/>
          <w:szCs w:val="18"/>
          <w:lang w:eastAsia="ru-RU" w:bidi="ru-RU"/>
        </w:rPr>
        <w:t>контроль</w:t>
      </w:r>
      <w:proofErr w:type="gramEnd"/>
      <w:r w:rsidRPr="0073427F">
        <w:rPr>
          <w:rFonts w:ascii="Tahoma" w:eastAsia="Times New Roman" w:hAnsi="Tahoma" w:cs="Tahoma"/>
          <w:color w:val="000000"/>
          <w:sz w:val="18"/>
          <w:szCs w:val="18"/>
          <w:lang w:eastAsia="ru-RU" w:bidi="ru-RU"/>
        </w:rPr>
        <w:t xml:space="preserve"> за капиталом исходя из соотношения собственных и заемных средств. Этот показатель рассчитывается путем деления чистой суммы задолженности на всю сумму капитала. Чистая сумма задолженности рассчитывается как сумма заемных средств, отраженная в консолидированном отчете о финансовом положении, минус средства в банке. Общая сумма капитала рассчитывается как сумма капитала, отражаемая в отчете о финансовом положении, плюс чистая задолженность.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Информация о расчете соотношения собственных и заемных средств Компании представлена в таблице ниже: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Общая сумма заемных средств (Примечание 24)</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320,167,380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217,955,721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 вычетом денежных средств и их эквивалентов (Примечание 21)</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(2,614,659)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(12,253,214)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Чистый долг</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317,552,721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205,702,507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Итого капитал</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1,313,008,196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841,437,233</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Итого капитал</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1,630,560,917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1,047,139,740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Соотношение собственных и заемных средств</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19,48%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19,64%</w:t>
            </w:r>
            <w:r w:rsidRPr="0073427F">
              <w:rPr>
                <w:rFonts w:ascii="Tahoma" w:eastAsia="Times New Roman" w:hAnsi="Tahoma" w:cs="Tahoma"/>
                <w:color w:val="000000"/>
                <w:sz w:val="18"/>
                <w:szCs w:val="18"/>
                <w:lang w:eastAsia="ru-RU" w:bidi="ru-RU"/>
              </w:rPr>
              <w:tab/>
            </w:r>
          </w:p>
        </w:tc>
      </w:tr>
    </w:tbl>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Оценка по справедливой стоимости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Справедливая стоимость финансовых активов Компании приблизительно соответствовала их балансовой стоимости на отчетную дату. </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4. Важные расчетные оценки и профессиональные суждения </w:t>
      </w: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Расчетные оценки и суждения постоянно анализируются на основе прошлого опыта и других факторов, включая ожидания в отношении будущих событий, которые, по мнению руководства, являются обоснованными в свете текущих обстоятельств.</w:t>
      </w:r>
    </w:p>
    <w:p w:rsidR="0073427F" w:rsidRPr="0073427F" w:rsidRDefault="0073427F" w:rsidP="0073427F">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использует оценки и допущения в отношении будущей деятельности. Полученные расчетные оценки, по определению, редко совпадают с фактическими результатами. Ниже описаны оценки и допущения, которые с большой вероятностью могут привести к существенным корректировкам балансовой стоимости активов и обязательств в течение следующего финансового года.</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Резерв по безнадежной и сомнительной задолженности </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проводит анализ своей торговой и прочей дебиторской задолженности на предмет наличия доказательств ее возмещения. Такие доказательства включают документ покупателя об оплате и общее финансовое положение покупателя. При наличии признаков невозмещения проводится оценка возмещаемой стоимости и создается соответствующий резерв по безнадежной и сомнительной задолженности. Сумма резерва начисляется через отчет о совокупном доходе. Оценка кредитного риска осуществляется на постоянной основе, и допущения, используемые для оценки резерва, проходят регулярные проверки и корректируются соответственно.</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38"/>
          <w:footerReference w:type="default" r:id="rId39"/>
          <w:pgSz w:w="11952" w:h="16848"/>
          <w:pgMar w:top="1021" w:right="1190" w:bottom="1021" w:left="1418" w:header="720" w:footer="720" w:gutter="0"/>
          <w:cols w:space="720"/>
          <w:noEndnote/>
        </w:sect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Налог на прибыль </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Существенное суждение необходимо применять при создании резерва по налогу на прибыль. В ходе обычной деятельности существует операции и расчеты, для которых сложно определить итоговую сумму налогов. Компания признает обязательства в отношении фактов, которые могут быть выявлены в ходе налоговых проверок, основываясь на оценках необходимости уплаты дополнительных налогов. Если окончательное фактическое решение вопроса отличается </w:t>
      </w:r>
      <w:proofErr w:type="gramStart"/>
      <w:r w:rsidRPr="0073427F">
        <w:rPr>
          <w:rFonts w:ascii="Tahoma" w:eastAsia="Times New Roman" w:hAnsi="Tahoma" w:cs="Tahoma"/>
          <w:color w:val="000000"/>
          <w:sz w:val="18"/>
          <w:szCs w:val="18"/>
          <w:lang w:eastAsia="ru-RU" w:bidi="ru-RU"/>
        </w:rPr>
        <w:t>от</w:t>
      </w:r>
      <w:proofErr w:type="gramEnd"/>
      <w:r w:rsidRPr="0073427F">
        <w:rPr>
          <w:rFonts w:ascii="Tahoma" w:eastAsia="Times New Roman" w:hAnsi="Tahoma" w:cs="Tahoma"/>
          <w:color w:val="000000"/>
          <w:sz w:val="18"/>
          <w:szCs w:val="18"/>
          <w:lang w:eastAsia="ru-RU" w:bidi="ru-RU"/>
        </w:rPr>
        <w:t xml:space="preserve"> изначально ожидаемого, разница будет проведена через расходы по налогу на прибыль и отложенное налогообложение в том периоде, когда принято такое решение.</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Уменьшение капитала </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Как указано в Примечании 22, Компания приняла решение об уменьшении капитала на 97 376 тысяч долларов США. Уменьшение эмиссионного дохода на 36 017 тысяч долларов США должно было быть подтверждено Окружным судом и зарегистрировано в Реестре юридических лиц. </w:t>
      </w:r>
      <w:proofErr w:type="gramStart"/>
      <w:r w:rsidRPr="0073427F">
        <w:rPr>
          <w:rFonts w:ascii="Tahoma" w:eastAsia="Times New Roman" w:hAnsi="Tahoma" w:cs="Tahoma"/>
          <w:color w:val="000000"/>
          <w:sz w:val="18"/>
          <w:szCs w:val="18"/>
          <w:lang w:eastAsia="ru-RU" w:bidi="ru-RU"/>
        </w:rPr>
        <w:t>По мнению Совета директоров Компании, учитывая сложившиеся обстоятельства, финансовое положение Компании и состав внешних кредиторов Компании, подтверждение регулирующих органов не вызывало сомнений, и Совет директоров осуществил передачу договорного права на получение финансового актива акционерам Компании 29 декабря 2011 г. Таким образом, при осуществлении платежа/передаче рисков и вознаграждений, связанных с правом собственности на данный финансовый инструмент, данные расходы были признаны</w:t>
      </w:r>
      <w:proofErr w:type="gramEnd"/>
      <w:r w:rsidRPr="0073427F">
        <w:rPr>
          <w:rFonts w:ascii="Tahoma" w:eastAsia="Times New Roman" w:hAnsi="Tahoma" w:cs="Tahoma"/>
          <w:color w:val="000000"/>
          <w:sz w:val="18"/>
          <w:szCs w:val="18"/>
          <w:lang w:eastAsia="ru-RU" w:bidi="ru-RU"/>
        </w:rPr>
        <w:t xml:space="preserve"> в составе капитала. Следовательно, такое уменьшение капитала было отражено в полном объеме по состоянию на 29 декабря 2011 г. Фактическое уменьшение номинального эмиссионного дохода было признано в 2012 г. при получении подтверждения от Регистратора.</w:t>
      </w:r>
    </w:p>
    <w:p w:rsidR="0073427F" w:rsidRPr="0073427F" w:rsidRDefault="0073427F" w:rsidP="0073427F">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Оценка инвестиций, не имеющих листинга на фондовой бирже</w:t>
      </w:r>
      <w:r w:rsidRPr="0073427F">
        <w:rPr>
          <w:rFonts w:ascii="Tahoma" w:eastAsia="Times New Roman" w:hAnsi="Tahoma" w:cs="Tahoma"/>
          <w:b/>
          <w:bCs/>
          <w:color w:val="000000"/>
          <w:sz w:val="18"/>
          <w:szCs w:val="18"/>
          <w:lang w:eastAsia="ru-RU" w:bidi="ru-RU"/>
        </w:rPr>
        <w:noBreakHyphen/>
        <w:t xml:space="preserve"> </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использует различные методы для оценки инвестиций, не имеющих листинга на фондовой бирже. Эти методы основаны на допущениях Совета директоров, основанных на рыночной информации на отчетную дату.</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Функциональная валюта </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Функциональная валюта Компании была определена исходя из экономических условий, лежащих в основе ее хозяйственной деятельности, которая представляет собой финансовую деятельность и </w:t>
      </w:r>
      <w:proofErr w:type="gramStart"/>
      <w:r w:rsidRPr="0073427F">
        <w:rPr>
          <w:rFonts w:ascii="Tahoma" w:eastAsia="Times New Roman" w:hAnsi="Tahoma" w:cs="Tahoma"/>
          <w:color w:val="000000"/>
          <w:sz w:val="18"/>
          <w:szCs w:val="18"/>
          <w:lang w:eastAsia="ru-RU" w:bidi="ru-RU"/>
        </w:rPr>
        <w:t>покупку</w:t>
      </w:r>
      <w:proofErr w:type="gramEnd"/>
      <w:r w:rsidRPr="0073427F">
        <w:rPr>
          <w:rFonts w:ascii="Tahoma" w:eastAsia="Times New Roman" w:hAnsi="Tahoma" w:cs="Tahoma"/>
          <w:color w:val="000000"/>
          <w:sz w:val="18"/>
          <w:szCs w:val="18"/>
          <w:lang w:eastAsia="ru-RU" w:bidi="ru-RU"/>
        </w:rPr>
        <w:t xml:space="preserve"> и продажу инвестиций или владение инвестициями. Для определения того, что является конкретными экономическими условиями деятельности, требуются профессиональные суждения. Данное суждение Компании основывается на оценке, помимо прочих факторов, места ведения деятельности, источников выручки и расходов и рисков, связанных с этой деятельностью.</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Функциональной валютой Компании является доллар США, поскольку Компания привлекала капитал в долларах США и большая часть инвестиций была приобретена за доллары США.</w:t>
      </w:r>
    </w:p>
    <w:p w:rsidR="0073427F" w:rsidRPr="0073427F" w:rsidRDefault="0073427F" w:rsidP="0073427F">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br w:type="page"/>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5. Процентные доходы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доходы, полученные от третьих сторон</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159,901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60,261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Процентные доходы, полученные от связанных сторон (Примечание 27.2)</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27,252,611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8,665,931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27,412,512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8,726,192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6. Чистый доход от выбытия инвестиций в дочерние предприятия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Доходы от выбытия инвестиций в дочерние предприятия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3,209,345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3 сентября 2012 года Компания продала 100% акций в капитале ЗАО «Большевик» ЗАО «Финкомавто». Полученный убыток составил 3 045 тысяч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3 сентября 2012 года Компания продала 100% акций в капитале Collins Crest Limited компании Glorem Trading Limited. Полученная прибыль составила 6 294 тысячи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течение года акции компаний Horus Capital и Brightlink Investments Limited </w:t>
      </w:r>
      <w:proofErr w:type="gramStart"/>
      <w:r w:rsidRPr="0073427F">
        <w:rPr>
          <w:rFonts w:ascii="Tahoma" w:eastAsia="Times New Roman" w:hAnsi="Tahoma" w:cs="Tahoma"/>
          <w:color w:val="000000"/>
          <w:sz w:val="18"/>
          <w:szCs w:val="18"/>
          <w:lang w:eastAsia="ru-RU" w:bidi="ru-RU"/>
        </w:rPr>
        <w:t>были проданы и в результате был</w:t>
      </w:r>
      <w:proofErr w:type="gramEnd"/>
      <w:r w:rsidRPr="0073427F">
        <w:rPr>
          <w:rFonts w:ascii="Tahoma" w:eastAsia="Times New Roman" w:hAnsi="Tahoma" w:cs="Tahoma"/>
          <w:color w:val="000000"/>
          <w:sz w:val="18"/>
          <w:szCs w:val="18"/>
          <w:lang w:eastAsia="ru-RU" w:bidi="ru-RU"/>
        </w:rPr>
        <w:t xml:space="preserve"> признан чистый убыток в размере 40 тысяч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7. Прибыль от инвестиционной деятельности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 (Примечание 16)</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332,558,264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326,903,359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Доход, полученный от уменьшения капитала дочерних предприятий (1)</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24,000,000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332,558,264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350,903,359</w:t>
            </w:r>
            <w:r w:rsidRPr="0073427F">
              <w:rPr>
                <w:rFonts w:ascii="Tahoma" w:eastAsia="Times New Roman" w:hAnsi="Tahoma" w:cs="Tahoma"/>
                <w:color w:val="000000"/>
                <w:sz w:val="18"/>
                <w:szCs w:val="18"/>
                <w:lang w:eastAsia="ru-RU" w:bidi="ru-RU"/>
              </w:rPr>
              <w:tab/>
            </w:r>
          </w:p>
        </w:tc>
      </w:tr>
    </w:tbl>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 В 2011 году сумма 24 миллиона долларов США включает доход, полученный от уменьшения капитала, проведенного дочерним предприятием Компании (Effusive Holding Limited).</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40"/>
          <w:footerReference w:type="default" r:id="rId41"/>
          <w:pgSz w:w="11952" w:h="16848"/>
          <w:pgMar w:top="1021" w:right="1190" w:bottom="1021" w:left="1418" w:header="720" w:footer="720" w:gutter="0"/>
          <w:cols w:space="720"/>
          <w:noEndnote/>
        </w:sect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8. Расходы по элементам затрат</w:t>
      </w:r>
      <w:r w:rsidRPr="0073427F">
        <w:rPr>
          <w:rFonts w:ascii="Tahoma" w:eastAsia="Times New Roman" w:hAnsi="Tahoma" w:cs="Tahoma"/>
          <w:b/>
          <w:bCs/>
          <w:i/>
          <w:color w:val="FF0000"/>
          <w:sz w:val="18"/>
          <w:szCs w:val="18"/>
          <w:lang w:eastAsia="ru-RU" w:bidi="ru-RU"/>
        </w:rPr>
        <w:t xml:space="preserve"> </w:t>
      </w:r>
      <w:r w:rsidRPr="0073427F">
        <w:rPr>
          <w:rFonts w:ascii="Tahoma" w:eastAsia="Times New Roman" w:hAnsi="Tahoma" w:cs="Tahoma"/>
          <w:b/>
          <w:bCs/>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95"/>
        <w:gridCol w:w="1412"/>
        <w:gridCol w:w="1281"/>
      </w:tblGrid>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Вознаграждение директоров (Примечание 27.1)</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643,472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205,565</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Выплаты, основанные на акциях (Примечание 27.1)</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11,000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11,000</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Страхование</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29,265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27,591</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Ремонт и эксплуатация</w:t>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42,100</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Пожертвования, не относящиеся к благотворительности</w:t>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10,680</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Маркетинг и стимулирование продаж</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250,743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422,440</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Гербовый сбор</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123,792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Расходы на сертификацию и легализацию</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94,931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Вознаграждение аудиторов </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406,400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65,772</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Расходы на юридическое сопровождение</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1,570,635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80,925</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Агентское вознаграждение</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9,080,750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Вознаграждения за профессиональные услуги</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2,502,042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2,018,193</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Вознаграждения за прочие профессиональные услуги </w:t>
            </w:r>
            <w:r w:rsidRPr="0073427F">
              <w:rPr>
                <w:rFonts w:ascii="Tahoma" w:eastAsia="Times New Roman" w:hAnsi="Tahoma" w:cs="Tahoma"/>
                <w:color w:val="000000"/>
                <w:sz w:val="18"/>
                <w:szCs w:val="18"/>
                <w:lang w:eastAsia="ru-RU" w:bidi="ru-RU"/>
              </w:rPr>
              <w:noBreakHyphen/>
              <w:t xml:space="preserve"> расходы на IPO</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3,865,785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Командировочные расходы</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139,069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Представительские расходы</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35,044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Вознаграждение управляющих</w:t>
            </w: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870,564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381,989</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Прочие расходы</w:t>
            </w:r>
          </w:p>
        </w:tc>
        <w:tc>
          <w:tcPr>
            <w:tcW w:w="1412"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w:t>
            </w:r>
            <w:r w:rsidRPr="0073427F">
              <w:rPr>
                <w:rFonts w:ascii="Tahoma" w:eastAsia="Times New Roman" w:hAnsi="Tahoma" w:cs="Tahoma"/>
                <w:color w:val="000000"/>
                <w:sz w:val="18"/>
                <w:szCs w:val="18"/>
                <w:lang w:eastAsia="ru-RU" w:bidi="ru-RU"/>
              </w:rPr>
              <w:tab/>
            </w:r>
          </w:p>
        </w:tc>
      </w:tr>
      <w:tr w:rsidR="0073427F" w:rsidRPr="0073427F" w:rsidTr="0073427F">
        <w:tc>
          <w:tcPr>
            <w:tcW w:w="6695"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19,623,492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3,266,256</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Указанные выше операционные расходы включают вознаграждение в размере 2 357 долларов США (2011 г.: 7 475 долларов США) за услуги по налоговому консультированию и 1 013 803 долларов США (2011 г.: ноль) за прочие аудиторские услуги, начисленное фирмой, выполняющей обязательный аудит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9. Расходы на содержание персонала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Зарплата, включая вознаграждение директоров за исполнительную деятельность</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643,472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205,565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643,472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205,565</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br w:type="page"/>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10. Финансовые расходы</w:t>
      </w:r>
      <w:r w:rsidRPr="0073427F">
        <w:rPr>
          <w:rFonts w:ascii="Tahoma" w:eastAsia="Times New Roman" w:hAnsi="Tahoma" w:cs="Tahoma"/>
          <w:b/>
          <w:bCs/>
          <w:color w:val="FF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Процентные расходы</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 по банковским овердрафтам</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452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Изменение справедливой стоимости процентных свопов</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4,132,419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Прочие финансовые расходы</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Банковская комиссия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167,003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35,311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Прочие финансовые расходы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1,662,467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4,220,620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Чистые расходы от переоценки иностранной валюты</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Реализованная отрицательная курсовая разница</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540,196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39,794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Нереализованная отрицательная курсовая разница</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2,110,720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2,399,600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8,613,257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6,695,326</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11. Налогообложение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11.1 Налоги, признанные в составе прибыли или убытка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Налог на прибыль </w:t>
            </w:r>
            <w:r w:rsidRPr="0073427F">
              <w:rPr>
                <w:rFonts w:ascii="Tahoma" w:eastAsia="Times New Roman" w:hAnsi="Tahoma" w:cs="Tahoma"/>
                <w:color w:val="000000"/>
                <w:sz w:val="18"/>
                <w:szCs w:val="18"/>
                <w:lang w:eastAsia="ru-RU" w:bidi="ru-RU"/>
              </w:rPr>
              <w:noBreakHyphen/>
              <w:t xml:space="preserve"> текущий год </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165,341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Начислено за год</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165,341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 на прибыль Компании до налогообложения отличается от теоретической суммы, которая была бы получена в случае применения действующих процентных ставок:</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до налогообложения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304,290,996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348,149,369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 рассчитанный на основе действующих налоговых ставок</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30,429,100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34,814,937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Расходы, не уменьшающие налогооблагаемую базу</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3,444,631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268,691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Необлагаемые доходы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(33,837,334)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(34,918,287)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Налоговые убытки, перенесенные на будущий период</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(36,397)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Налоговые отчисления</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165,341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Компании облагается налогом по ставке 10%. С 1 января 2013 года ставка налога на прибыль была увеличена до 12,5%.</w:t>
      </w:r>
      <w:r w:rsidRPr="0073427F">
        <w:rPr>
          <w:rFonts w:ascii="Tahoma" w:eastAsia="Times New Roman" w:hAnsi="Tahoma" w:cs="Tahoma"/>
          <w:color w:val="000000"/>
          <w:sz w:val="18"/>
          <w:szCs w:val="18"/>
          <w:lang w:eastAsia="ru-RU" w:bidi="ru-RU"/>
        </w:rPr>
        <w:br/>
      </w:r>
      <w:r w:rsidRPr="0073427F">
        <w:rPr>
          <w:rFonts w:ascii="Tahoma" w:eastAsia="Times New Roman" w:hAnsi="Tahoma" w:cs="Tahoma"/>
          <w:color w:val="000000"/>
          <w:sz w:val="18"/>
          <w:szCs w:val="18"/>
          <w:lang w:eastAsia="ru-RU" w:bidi="ru-RU"/>
        </w:rPr>
        <w:br/>
        <w:t>Компания не имеет обязательств по кипрскому налогу на прибыль в связи с использованием для целей налогообложения убытков, перенесенных из прошлых периодов.</w:t>
      </w:r>
      <w:r w:rsidRPr="0073427F">
        <w:rPr>
          <w:rFonts w:ascii="Tahoma" w:eastAsia="Times New Roman" w:hAnsi="Tahoma" w:cs="Tahoma"/>
          <w:color w:val="000000"/>
          <w:sz w:val="18"/>
          <w:szCs w:val="18"/>
          <w:lang w:eastAsia="ru-RU" w:bidi="ru-RU"/>
        </w:rPr>
        <w:br/>
      </w:r>
      <w:r w:rsidRPr="0073427F">
        <w:rPr>
          <w:rFonts w:ascii="Tahoma" w:eastAsia="Times New Roman" w:hAnsi="Tahoma" w:cs="Tahoma"/>
          <w:color w:val="000000"/>
          <w:sz w:val="18"/>
          <w:szCs w:val="18"/>
          <w:lang w:eastAsia="ru-RU" w:bidi="ru-RU"/>
        </w:rPr>
        <w:br/>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11. Налогообложение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w:t>
      </w:r>
      <w:proofErr w:type="gramStart"/>
      <w:r w:rsidRPr="0073427F">
        <w:rPr>
          <w:rFonts w:ascii="Tahoma" w:eastAsia="Times New Roman" w:hAnsi="Tahoma" w:cs="Tahoma"/>
          <w:color w:val="000000"/>
          <w:sz w:val="18"/>
          <w:szCs w:val="18"/>
          <w:lang w:eastAsia="ru-RU" w:bidi="ru-RU"/>
        </w:rPr>
        <w:t>соответствии</w:t>
      </w:r>
      <w:proofErr w:type="gramEnd"/>
      <w:r w:rsidRPr="0073427F">
        <w:rPr>
          <w:rFonts w:ascii="Tahoma" w:eastAsia="Times New Roman" w:hAnsi="Tahoma" w:cs="Tahoma"/>
          <w:color w:val="000000"/>
          <w:sz w:val="18"/>
          <w:szCs w:val="18"/>
          <w:lang w:eastAsia="ru-RU" w:bidi="ru-RU"/>
        </w:rPr>
        <w:t xml:space="preserve"> с действующим налоговым законодательством налоговые убытки могут переноситься на будущий период и засчитываться против налогооблагаемого дохода следующих пяти лет.</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 1 января 2009 года в некоторых случаях процентный доход может быть освобожден от налога на прибыль и облагается только специальным сбором на нужды обороны по ставке 10%; с 31 августа 2011 года ставка увеличена до 15%, а с января 2013 года - увеличена до 30%.</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некоторых случаях дивиденды, полученные за рубежом, могут облагаться специальным взносом на нужды обороны по ставке 15%; с 31 августа 2011 года ставка увеличена до 17%; на период с 1 января 2012 года по 31 декабря 2013 года - ставка увеличена до 20%.  В </w:t>
      </w:r>
      <w:proofErr w:type="gramStart"/>
      <w:r w:rsidRPr="0073427F">
        <w:rPr>
          <w:rFonts w:ascii="Tahoma" w:eastAsia="Times New Roman" w:hAnsi="Tahoma" w:cs="Tahoma"/>
          <w:color w:val="000000"/>
          <w:sz w:val="18"/>
          <w:szCs w:val="18"/>
          <w:lang w:eastAsia="ru-RU" w:bidi="ru-RU"/>
        </w:rPr>
        <w:t>ряде</w:t>
      </w:r>
      <w:proofErr w:type="gramEnd"/>
      <w:r w:rsidRPr="0073427F">
        <w:rPr>
          <w:rFonts w:ascii="Tahoma" w:eastAsia="Times New Roman" w:hAnsi="Tahoma" w:cs="Tahoma"/>
          <w:color w:val="000000"/>
          <w:sz w:val="18"/>
          <w:szCs w:val="18"/>
          <w:lang w:eastAsia="ru-RU" w:bidi="ru-RU"/>
        </w:rPr>
        <w:t xml:space="preserve"> случаев дивиденды, полученные с 1 января 2012 г. и после этой даты от прочих компаний - налоговых резидентов Кипра, также могут облагаться специальным сбором на нужды обороны.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Прибыль от выбытия отвечающих определенным условиям прав собственности (включая акции, облигации, долговые обязательства, права на них и т.п.) освобождены от кипрского налога на прибыль.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12. Дивиденды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Дивиденды по привилегированным акциям</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3,950,000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3,950,000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27 декабря 2012 года Совет директоров утвердил выплату дивидендов в размере 3,950,000 долларов США (2011 г.: ноль) держателям привилегированных акций.</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Дивиденды облагаются специальным сбором на нужды обороны по ставке 15% в случае </w:t>
      </w:r>
      <w:proofErr w:type="gramStart"/>
      <w:r w:rsidRPr="0073427F">
        <w:rPr>
          <w:rFonts w:ascii="Tahoma" w:eastAsia="Times New Roman" w:hAnsi="Tahoma" w:cs="Tahoma"/>
          <w:color w:val="000000"/>
          <w:sz w:val="18"/>
          <w:szCs w:val="18"/>
          <w:lang w:eastAsia="ru-RU" w:bidi="ru-RU"/>
        </w:rPr>
        <w:t>акционеров-физических</w:t>
      </w:r>
      <w:proofErr w:type="gramEnd"/>
      <w:r w:rsidRPr="0073427F">
        <w:rPr>
          <w:rFonts w:ascii="Tahoma" w:eastAsia="Times New Roman" w:hAnsi="Tahoma" w:cs="Tahoma"/>
          <w:color w:val="000000"/>
          <w:sz w:val="18"/>
          <w:szCs w:val="18"/>
          <w:lang w:eastAsia="ru-RU" w:bidi="ru-RU"/>
        </w:rPr>
        <w:t xml:space="preserve"> лиц, являющихся резидентами Кипра.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 xml:space="preserve">13. Кредитное качество финансовых активов </w:t>
      </w:r>
    </w:p>
    <w:p w:rsidR="0073427F" w:rsidRPr="0073427F" w:rsidRDefault="0073427F" w:rsidP="0073427F">
      <w:pPr>
        <w:keepNext/>
        <w:widowControl w:val="0"/>
        <w:autoSpaceDE w:val="0"/>
        <w:autoSpaceDN w:val="0"/>
        <w:adjustRightInd w:val="0"/>
        <w:spacing w:after="0" w:line="240" w:lineRule="auto"/>
        <w:ind w:right="1814"/>
        <w:rPr>
          <w:rFonts w:ascii="Tahoma" w:eastAsia="Times New Roman" w:hAnsi="Tahoma" w:cs="Tahoma"/>
          <w:b/>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Кредитное качество финансовых активов, которые не являются ни просроченными, ни обесцененными, с точки зрения возможности получения задолженности от контрагентов может быть оценено с использованием внешних кредитных рейтингов (если применимо) или показателей дефолта контрагентов за прошлые периоды:</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Полностью беспроблемная дебиторская задолженность </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Контрагенты, не имеющие внешнего кредитного рейтинга </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Группа 1</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6,657,645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7,048,296</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Группа 4</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71,007,757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51,487,149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77,665,402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58,535,445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77,665,402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58,535,445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Полностью беспроблемная дебиторская задолженность по займам </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Группа 4</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311,614,195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233,477,297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Группа 2</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239,756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311,853,951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233,477,297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 xml:space="preserve">Средства в банке и краткосрочные банковские депозиты  </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BB (Fitch)</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935,383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12,253,214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BBB (Fitch)</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1,425,000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 (Fitch)</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210,848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BB</w:t>
            </w:r>
            <w:r w:rsidRPr="0073427F">
              <w:rPr>
                <w:rFonts w:ascii="Tahoma" w:eastAsia="Times New Roman" w:hAnsi="Tahoma" w:cs="Tahoma"/>
                <w:color w:val="000000"/>
                <w:sz w:val="18"/>
                <w:szCs w:val="18"/>
                <w:lang w:eastAsia="ru-RU" w:bidi="ru-RU"/>
              </w:rPr>
              <w:noBreakHyphen/>
              <w:t xml:space="preserve"> (Fitch</w:t>
            </w:r>
            <w:proofErr w:type="gramEnd"/>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8,842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w:t>
            </w:r>
            <w:r w:rsidRPr="0073427F">
              <w:rPr>
                <w:rFonts w:ascii="Tahoma" w:eastAsia="Times New Roman" w:hAnsi="Tahoma" w:cs="Tahoma"/>
                <w:color w:val="000000"/>
                <w:sz w:val="18"/>
                <w:szCs w:val="18"/>
                <w:lang w:eastAsia="ru-RU" w:bidi="ru-RU"/>
              </w:rPr>
              <w:noBreakHyphen/>
              <w:t xml:space="preserve"> (Fitch)</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6,604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Caa1 (Moody's)</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27,982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2,614,659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12,253,214</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Группа 1 </w:t>
      </w:r>
      <w:r w:rsidRPr="0073427F">
        <w:rPr>
          <w:rFonts w:ascii="Tahoma" w:eastAsia="Times New Roman" w:hAnsi="Tahoma" w:cs="Tahoma"/>
          <w:color w:val="000000"/>
          <w:sz w:val="18"/>
          <w:szCs w:val="18"/>
          <w:lang w:eastAsia="ru-RU" w:bidi="ru-RU"/>
        </w:rPr>
        <w:noBreakHyphen/>
        <w:t xml:space="preserve"> новые клиенты (менее 6 месяцев).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Группа 2 </w:t>
      </w:r>
      <w:r w:rsidRPr="0073427F">
        <w:rPr>
          <w:rFonts w:ascii="Tahoma" w:eastAsia="Times New Roman" w:hAnsi="Tahoma" w:cs="Tahoma"/>
          <w:color w:val="000000"/>
          <w:sz w:val="18"/>
          <w:szCs w:val="18"/>
          <w:lang w:eastAsia="ru-RU" w:bidi="ru-RU"/>
        </w:rPr>
        <w:noBreakHyphen/>
        <w:t xml:space="preserve"> существующие клиенты (более 6 месяцев), не имеющие дефолтов в прошлом.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Группа 4 </w:t>
      </w:r>
      <w:r w:rsidRPr="0073427F">
        <w:rPr>
          <w:rFonts w:ascii="Tahoma" w:eastAsia="Times New Roman" w:hAnsi="Tahoma" w:cs="Tahoma"/>
          <w:color w:val="000000"/>
          <w:sz w:val="18"/>
          <w:szCs w:val="18"/>
          <w:lang w:eastAsia="ru-RU" w:bidi="ru-RU"/>
        </w:rPr>
        <w:noBreakHyphen/>
        <w:t xml:space="preserve"> компании группы, компании под общим контролем и ассоциированные компании, не имеющие дефолтов в прошлом.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Условия по финансовым активам, которые являются беспроблемными, не пересматривались.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14. Представление классов финансовых инструментов по категориям оценки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На 31 декабря 2012 года и 31 декабря 2011 года все финансовые активы Компании, за исключением производных финансовых инструментов, были включены в категорию займы и дебиторская задолженность. Все финансовые обязательства Компании, за исключением производных финансовых инструментов, отражаются по амортизированной стоимости.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t>На 31 декабря 2012 года и 2011 года все производные инструменты оценивались с помощью методов оценки, использующих данные наблюдаемых рынков, т.е. Уровень 2.</w:t>
      </w:r>
      <w:r w:rsidRPr="0073427F">
        <w:rPr>
          <w:rFonts w:ascii="Tahoma" w:eastAsia="Times New Roman" w:hAnsi="Tahoma" w:cs="Tahoma"/>
          <w:b/>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br w:type="page"/>
        <w:t xml:space="preserve">15. Справедливая стоимость финансовых инструментов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Справедливая стоимость представляет собой сумму, на которую можно обменять финансовый инструмент в ходе текущей операции между заинтересованными сторонами, за исключением случаев вынужденной продажи или ликвидации. Наилучшим подтверждением справедливой стоимости является котируемая на рынке цена финансового инструмента.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Расчетная справедливая стоимость финансовых инструментов определялась Группой исходя из имеющейся рыночной информации (если она существовала и считалась надежным показателем) и надлежащих методов оценки. Однако для интерпретации рыночной информации в целях определения оценочной справедливой стоимости необходимо применять профессиональные суждения. Экономика Российской Федерации продолжает проявлять некоторые характерные особенности, присущие развивающимся странам, а экономические условия продолжают ограничивать объемы активности на финансовых рынках. Рыночные котировки могут быть устаревшими или отражать стоимость продажи по низким ценам и ввиду этого не отражать справедливую стоимость финансовых инструментов. При определении справедливой стоимости финансовых инструментов руководство использует всю имеющуюся рыночную информацию.</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Денежные средства и их эквиваленты.</w:t>
      </w:r>
      <w:r w:rsidRPr="0073427F">
        <w:rPr>
          <w:rFonts w:ascii="Tahoma" w:eastAsia="Times New Roman" w:hAnsi="Tahoma" w:cs="Tahoma"/>
          <w:color w:val="000000"/>
          <w:sz w:val="18"/>
          <w:szCs w:val="18"/>
          <w:lang w:eastAsia="ru-RU" w:bidi="ru-RU"/>
        </w:rPr>
        <w:t xml:space="preserve"> Денежные средства и их эквиваленты отражаются по номинальной стоимости. (Примечание 21)</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Финансовые активы и обязательства, отражаемые по амортизированной стоимости.</w:t>
      </w:r>
      <w:r w:rsidRPr="0073427F">
        <w:rPr>
          <w:rFonts w:ascii="Tahoma" w:eastAsia="Times New Roman" w:hAnsi="Tahoma" w:cs="Tahoma"/>
          <w:color w:val="000000"/>
          <w:sz w:val="18"/>
          <w:szCs w:val="18"/>
          <w:lang w:eastAsia="ru-RU" w:bidi="ru-RU"/>
        </w:rPr>
        <w:t xml:space="preserve"> Финансовые обязательства отражены по амортизированной стоимости, которая приблизительно равна их текущей справедливой стоимости.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16. Финансовые активы, оцениваемые по справедливой стоимости, изменения которой отражаются в составе прибыли или убытка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779,687,552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446,691,884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Поступления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298,940,877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6,092,309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Выбытия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(76,811,399)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Переоценка</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332,558,264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326,903,359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1,334,375,294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779,687,552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16. Справедливая стоимость финансовых инструментов (продолжение)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Информация о справедливой стоимости дочерних предприятий представлена в таблице ниже: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098"/>
        <w:gridCol w:w="1553"/>
        <w:gridCol w:w="2177"/>
        <w:gridCol w:w="833"/>
        <w:gridCol w:w="1412"/>
        <w:gridCol w:w="1281"/>
      </w:tblGrid>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Название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Страна регистрации</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Основная деятельность</w:t>
            </w:r>
          </w:p>
        </w:tc>
        <w:tc>
          <w:tcPr>
            <w:tcW w:w="83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Доля участия</w:t>
            </w:r>
          </w:p>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w:t>
            </w: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3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Дочерние предприятия</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2"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Wallasey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Финансирование</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61,713,537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11,151,686</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Ratado Holding Ltd(1)*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555,583,000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Discovery Russian Realty Paveletskaya Project Ltd(1)*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Каймановы острова</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99.94</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126,547,000</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Effusive Holding Ltd &amp; Flybase Investments Ltd (1)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155,241,652</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Sandix Group B.V**</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Нидерланды</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Celera Corporation(1)*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Британские Виргинские острова</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23,247,542</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ЗАО «Хорус Капитал»</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Россия</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72,672</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Properties Management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Россия</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Услуги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1,064,000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Sharezone Capital Ltd** (1) (3)</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390,787,000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458,912,000</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Brightlink Holding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Stabilac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Финансирование</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3,078,611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Xeroma Management Ltd(1)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Paremos Ltd(1)*</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4,515,000</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Bitlena Holdings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Valnaz Investments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19,108,734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Eagleman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Финансирование</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ООО «Сити</w:t>
            </w:r>
            <w:r w:rsidRPr="0073427F">
              <w:rPr>
                <w:rFonts w:ascii="Tahoma" w:eastAsia="Times New Roman" w:hAnsi="Tahoma" w:cs="Tahoma"/>
                <w:color w:val="000000"/>
                <w:sz w:val="18"/>
                <w:szCs w:val="18"/>
                <w:lang w:eastAsia="ru-RU" w:bidi="ru-RU"/>
              </w:rPr>
              <w:noBreakHyphen/>
              <w:t>Девелопер»</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Россия</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Услуги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ЗАО «Наш Стандарт»</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Россия</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Услуги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875,000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Hines DPIII Development Limited** (2)</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164,051,406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Hines DPIII Realty Ltd** (2)</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138,110,359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Tropical Sunset Holdings Inc** (2)</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Британские Виргинские острова</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Lomnia Services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1,032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Quotex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Annabeth Services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Неактивная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1,296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Letvion Investments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Неактивная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1,306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Hannory Holdings Ltd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Неактивная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Collins Crest Limited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ООО «Семела»</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Россия</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Неактивная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Blandid Limited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Неактивная компания</w:t>
            </w: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100</w:t>
            </w:r>
          </w:p>
        </w:tc>
        <w:tc>
          <w:tcPr>
            <w:tcW w:w="1412" w:type="dxa"/>
            <w:tcBorders>
              <w:top w:val="nil"/>
              <w:left w:val="nil"/>
              <w:bottom w:val="nil"/>
              <w:right w:val="nil"/>
            </w:tcBorders>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3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2"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2098"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7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33"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1,334,375,294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779,687,552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42"/>
          <w:footerReference w:type="default" r:id="rId43"/>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Доли в акционерном капитале с пометкой</w:t>
      </w:r>
      <w:proofErr w:type="gramStart"/>
      <w:r w:rsidRPr="0073427F">
        <w:rPr>
          <w:rFonts w:ascii="Tahoma" w:eastAsia="Times New Roman" w:hAnsi="Tahoma" w:cs="Tahoma"/>
          <w:color w:val="000000"/>
          <w:sz w:val="18"/>
          <w:szCs w:val="18"/>
          <w:lang w:eastAsia="ru-RU" w:bidi="ru-RU"/>
        </w:rPr>
        <w:t xml:space="preserve"> (*) </w:t>
      </w:r>
      <w:proofErr w:type="gramEnd"/>
      <w:r w:rsidRPr="0073427F">
        <w:rPr>
          <w:rFonts w:ascii="Tahoma" w:eastAsia="Times New Roman" w:hAnsi="Tahoma" w:cs="Tahoma"/>
          <w:color w:val="000000"/>
          <w:sz w:val="18"/>
          <w:szCs w:val="18"/>
          <w:lang w:eastAsia="ru-RU" w:bidi="ru-RU"/>
        </w:rPr>
        <w:t>предоставлены в качестве обеспечения по займам и кредитам Компании (Примечание 24) на соответствующие даты.</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Доли в акционерном капитале с пометкой</w:t>
      </w:r>
      <w:proofErr w:type="gramStart"/>
      <w:r w:rsidRPr="0073427F">
        <w:rPr>
          <w:rFonts w:ascii="Tahoma" w:eastAsia="Times New Roman" w:hAnsi="Tahoma" w:cs="Tahoma"/>
          <w:color w:val="000000"/>
          <w:sz w:val="18"/>
          <w:szCs w:val="18"/>
          <w:lang w:eastAsia="ru-RU" w:bidi="ru-RU"/>
        </w:rPr>
        <w:t xml:space="preserve"> (**) </w:t>
      </w:r>
      <w:proofErr w:type="gramEnd"/>
      <w:r w:rsidRPr="0073427F">
        <w:rPr>
          <w:rFonts w:ascii="Tahoma" w:eastAsia="Times New Roman" w:hAnsi="Tahoma" w:cs="Tahoma"/>
          <w:color w:val="000000"/>
          <w:sz w:val="18"/>
          <w:szCs w:val="18"/>
          <w:lang w:eastAsia="ru-RU" w:bidi="ru-RU"/>
        </w:rPr>
        <w:t>предоставлены в качестве обеспечения по займам и кредитам других компаний группы на соответствующие даты.</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(1) В </w:t>
      </w:r>
      <w:proofErr w:type="gramStart"/>
      <w:r w:rsidRPr="0073427F">
        <w:rPr>
          <w:rFonts w:ascii="Tahoma" w:eastAsia="Times New Roman" w:hAnsi="Tahoma" w:cs="Tahoma"/>
          <w:color w:val="000000"/>
          <w:sz w:val="18"/>
          <w:szCs w:val="18"/>
          <w:lang w:eastAsia="ru-RU" w:bidi="ru-RU"/>
        </w:rPr>
        <w:t>рамках</w:t>
      </w:r>
      <w:proofErr w:type="gramEnd"/>
      <w:r w:rsidRPr="0073427F">
        <w:rPr>
          <w:rFonts w:ascii="Tahoma" w:eastAsia="Times New Roman" w:hAnsi="Tahoma" w:cs="Tahoma"/>
          <w:color w:val="000000"/>
          <w:sz w:val="18"/>
          <w:szCs w:val="18"/>
          <w:lang w:eastAsia="ru-RU" w:bidi="ru-RU"/>
        </w:rPr>
        <w:t xml:space="preserve"> реструктуризации группы акции Компании в Discovery Russian Realty Paveletskaya Limited (сумма возмещения </w:t>
      </w:r>
      <w:r w:rsidRPr="0073427F">
        <w:rPr>
          <w:rFonts w:ascii="Tahoma" w:eastAsia="Times New Roman" w:hAnsi="Tahoma" w:cs="Tahoma"/>
          <w:color w:val="000000"/>
          <w:sz w:val="18"/>
          <w:szCs w:val="18"/>
          <w:lang w:eastAsia="ru-RU" w:bidi="ru-RU"/>
        </w:rPr>
        <w:noBreakHyphen/>
        <w:t xml:space="preserve"> 113 485 500 долларов США), Effusive Holdings Limited (125 362 000 долларов США), Flybase Investments Limited (1 320 долларов США), Celera Corporation и Paremos Limited были переведены в Ratado Holdings Limited. Выплата за переведенные акции была произведена компанией Ratado Holdings Limited в виде выпуска 4 000 дополнительных обыкновенных акций. Сумма к получению в размере 51,400,000 долларов США от Celera Corporation была также передана Ratado Holings Limited в качестве выплаты за эти акции.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val="en-US" w:eastAsia="ru-RU" w:bidi="ru-RU"/>
        </w:rPr>
        <w:t xml:space="preserve">(2) 17 </w:t>
      </w:r>
      <w:r w:rsidRPr="0073427F">
        <w:rPr>
          <w:rFonts w:ascii="Tahoma" w:eastAsia="Times New Roman" w:hAnsi="Tahoma" w:cs="Tahoma"/>
          <w:color w:val="000000"/>
          <w:sz w:val="18"/>
          <w:szCs w:val="18"/>
          <w:lang w:eastAsia="ru-RU" w:bidi="ru-RU"/>
        </w:rPr>
        <w:t>октября</w:t>
      </w:r>
      <w:r w:rsidRPr="0073427F">
        <w:rPr>
          <w:rFonts w:ascii="Tahoma" w:eastAsia="Times New Roman" w:hAnsi="Tahoma" w:cs="Tahoma"/>
          <w:color w:val="000000"/>
          <w:sz w:val="18"/>
          <w:szCs w:val="18"/>
          <w:lang w:val="en-US" w:eastAsia="ru-RU" w:bidi="ru-RU"/>
        </w:rPr>
        <w:t xml:space="preserve"> 2012 </w:t>
      </w:r>
      <w:r w:rsidRPr="0073427F">
        <w:rPr>
          <w:rFonts w:ascii="Tahoma" w:eastAsia="Times New Roman" w:hAnsi="Tahoma" w:cs="Tahoma"/>
          <w:color w:val="000000"/>
          <w:sz w:val="18"/>
          <w:szCs w:val="18"/>
          <w:lang w:eastAsia="ru-RU" w:bidi="ru-RU"/>
        </w:rPr>
        <w:t>года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Компания</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приобрела</w:t>
      </w:r>
      <w:r w:rsidRPr="0073427F">
        <w:rPr>
          <w:rFonts w:ascii="Tahoma" w:eastAsia="Times New Roman" w:hAnsi="Tahoma" w:cs="Tahoma"/>
          <w:color w:val="000000"/>
          <w:sz w:val="18"/>
          <w:szCs w:val="18"/>
          <w:lang w:val="en-US" w:eastAsia="ru-RU" w:bidi="ru-RU"/>
        </w:rPr>
        <w:t xml:space="preserve"> 100% </w:t>
      </w:r>
      <w:r w:rsidRPr="0073427F">
        <w:rPr>
          <w:rFonts w:ascii="Tahoma" w:eastAsia="Times New Roman" w:hAnsi="Tahoma" w:cs="Tahoma"/>
          <w:color w:val="000000"/>
          <w:sz w:val="18"/>
          <w:szCs w:val="18"/>
          <w:lang w:eastAsia="ru-RU" w:bidi="ru-RU"/>
        </w:rPr>
        <w:t>в</w:t>
      </w:r>
      <w:r w:rsidRPr="0073427F">
        <w:rPr>
          <w:rFonts w:ascii="Tahoma" w:eastAsia="Times New Roman" w:hAnsi="Tahoma" w:cs="Tahoma"/>
          <w:color w:val="000000"/>
          <w:sz w:val="18"/>
          <w:szCs w:val="18"/>
          <w:lang w:val="en-US" w:eastAsia="ru-RU" w:bidi="ru-RU"/>
        </w:rPr>
        <w:t xml:space="preserve"> Hines DPIII Realty Limited (Cyprus), Hines DPIII Development Limited (Cyprus) </w:t>
      </w:r>
      <w:r w:rsidRPr="0073427F">
        <w:rPr>
          <w:rFonts w:ascii="Tahoma" w:eastAsia="Times New Roman" w:hAnsi="Tahoma" w:cs="Tahoma"/>
          <w:color w:val="000000"/>
          <w:sz w:val="18"/>
          <w:szCs w:val="18"/>
          <w:lang w:eastAsia="ru-RU" w:bidi="ru-RU"/>
        </w:rPr>
        <w:t>и</w:t>
      </w:r>
      <w:r w:rsidRPr="0073427F">
        <w:rPr>
          <w:rFonts w:ascii="Tahoma" w:eastAsia="Times New Roman" w:hAnsi="Tahoma" w:cs="Tahoma"/>
          <w:color w:val="000000"/>
          <w:sz w:val="18"/>
          <w:szCs w:val="18"/>
          <w:lang w:val="en-US" w:eastAsia="ru-RU" w:bidi="ru-RU"/>
        </w:rPr>
        <w:t xml:space="preserve"> Tropical Sunset Holdings Inc. </w:t>
      </w:r>
      <w:r w:rsidRPr="0073427F">
        <w:rPr>
          <w:rFonts w:ascii="Tahoma" w:eastAsia="Times New Roman" w:hAnsi="Tahoma" w:cs="Tahoma"/>
          <w:color w:val="000000"/>
          <w:sz w:val="18"/>
          <w:szCs w:val="18"/>
          <w:lang w:eastAsia="ru-RU" w:bidi="ru-RU"/>
        </w:rPr>
        <w:t xml:space="preserve">(British Virgin Islands) у компании, контролируемой Основным владельцем, за общую сумму 167 900 000 долларов США. Выплата за переведенные акции была произведена в виде выпуска 16 790 привилегированных акций.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(3) В </w:t>
      </w:r>
      <w:proofErr w:type="gramStart"/>
      <w:r w:rsidRPr="0073427F">
        <w:rPr>
          <w:rFonts w:ascii="Tahoma" w:eastAsia="Times New Roman" w:hAnsi="Tahoma" w:cs="Tahoma"/>
          <w:color w:val="000000"/>
          <w:sz w:val="18"/>
          <w:szCs w:val="18"/>
          <w:lang w:eastAsia="ru-RU" w:bidi="ru-RU"/>
        </w:rPr>
        <w:t>рамках</w:t>
      </w:r>
      <w:proofErr w:type="gramEnd"/>
      <w:r w:rsidRPr="0073427F">
        <w:rPr>
          <w:rFonts w:ascii="Tahoma" w:eastAsia="Times New Roman" w:hAnsi="Tahoma" w:cs="Tahoma"/>
          <w:color w:val="000000"/>
          <w:sz w:val="18"/>
          <w:szCs w:val="18"/>
          <w:lang w:eastAsia="ru-RU" w:bidi="ru-RU"/>
        </w:rPr>
        <w:t xml:space="preserve"> реструктуризации группы все основные активы Longmoor Limited были переведены в Sharezone Capital Limited. В 2011 году после передачи активов компания Longmoor была продана связанной стороне за 1 доллар США.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 февраля 2012 года Компания приобрела 100% акционерного капитала ОАО «Большевик» за 76 045 тысяч долларов США. Инвестиция в ОАО «Большевик» была продана 3 сентября 2012 года за 73 000 тысяч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17. Инвестиции в ассоциированную компанию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9,583,300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Поступления (по себестоимости)</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9,583,300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9,583,300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9,583,300</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Информация об инвестициях представлена в таблице ниже: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415"/>
        <w:gridCol w:w="1553"/>
        <w:gridCol w:w="1554"/>
        <w:gridCol w:w="1139"/>
        <w:gridCol w:w="1412"/>
        <w:gridCol w:w="1281"/>
      </w:tblGrid>
      <w:tr w:rsidR="0073427F" w:rsidRPr="0073427F" w:rsidTr="0073427F">
        <w:tc>
          <w:tcPr>
            <w:tcW w:w="241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Название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Страна регистрации</w:t>
            </w:r>
          </w:p>
        </w:tc>
        <w:tc>
          <w:tcPr>
            <w:tcW w:w="15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Основная деятельность</w:t>
            </w: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Доля участия</w:t>
            </w:r>
          </w:p>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w:t>
            </w: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241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3427F" w:rsidRPr="0073427F" w:rsidTr="0073427F">
        <w:tc>
          <w:tcPr>
            <w:tcW w:w="241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Taavo Enterprises Limited</w:t>
            </w: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Кипр</w:t>
            </w:r>
          </w:p>
        </w:tc>
        <w:tc>
          <w:tcPr>
            <w:tcW w:w="15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Холдинговая компания и финансовые инвестиции</w:t>
            </w:r>
          </w:p>
        </w:tc>
        <w:tc>
          <w:tcPr>
            <w:tcW w:w="1139"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50</w:t>
            </w:r>
          </w:p>
        </w:tc>
        <w:tc>
          <w:tcPr>
            <w:tcW w:w="1412" w:type="dxa"/>
            <w:tcBorders>
              <w:top w:val="nil"/>
              <w:left w:val="nil"/>
              <w:bottom w:val="nil"/>
              <w:right w:val="nil"/>
            </w:tcBorders>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9,583,000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9,583,000</w:t>
            </w:r>
            <w:r w:rsidRPr="0073427F">
              <w:rPr>
                <w:rFonts w:ascii="Tahoma" w:eastAsia="Times New Roman" w:hAnsi="Tahoma" w:cs="Tahoma"/>
                <w:color w:val="000000"/>
                <w:sz w:val="18"/>
                <w:szCs w:val="18"/>
                <w:lang w:eastAsia="ru-RU" w:bidi="ru-RU"/>
              </w:rPr>
              <w:tab/>
            </w:r>
          </w:p>
        </w:tc>
      </w:tr>
      <w:tr w:rsidR="0073427F" w:rsidRPr="0073427F" w:rsidTr="0073427F">
        <w:tc>
          <w:tcPr>
            <w:tcW w:w="2415"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3"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9"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9,583,000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9,583,000</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Акции Taavo Enterprises Limited переданы в залог в качестве обеспечения по займам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44"/>
          <w:footerReference w:type="default" r:id="rId45"/>
          <w:pgSz w:w="11952" w:h="16848"/>
          <w:pgMar w:top="1021" w:right="1190" w:bottom="1021" w:left="1418" w:header="720" w:footer="720" w:gutter="0"/>
          <w:cols w:space="720"/>
          <w:noEndnote/>
        </w:sect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18. Производные финансовые инструменты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Процентные свопы</w:t>
      </w:r>
    </w:p>
    <w:tbl>
      <w:tblPr>
        <w:tblW w:w="0" w:type="auto"/>
        <w:tblInd w:w="45" w:type="dxa"/>
        <w:tblLayout w:type="fixed"/>
        <w:tblCellMar>
          <w:left w:w="45" w:type="dxa"/>
          <w:right w:w="45"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Обязательства</w:t>
            </w:r>
          </w:p>
        </w:tc>
        <w:tc>
          <w:tcPr>
            <w:tcW w:w="141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Долгосрочная часть</w:t>
            </w:r>
          </w:p>
        </w:tc>
        <w:tc>
          <w:tcPr>
            <w:tcW w:w="1411" w:type="dxa"/>
            <w:tcBorders>
              <w:top w:val="nil"/>
              <w:left w:val="nil"/>
              <w:bottom w:val="nil"/>
              <w:right w:val="nil"/>
            </w:tcBorders>
          </w:tcPr>
          <w:p w:rsidR="0073427F" w:rsidRPr="0073427F" w:rsidRDefault="0073427F" w:rsidP="0073427F">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4,132,419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49"/>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3427F" w:rsidRPr="0073427F" w:rsidRDefault="0073427F" w:rsidP="0073427F">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4,132,419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3427F" w:rsidRPr="0073427F" w:rsidRDefault="0073427F" w:rsidP="0073427F">
            <w:pPr>
              <w:widowControl w:val="0"/>
              <w:tabs>
                <w:tab w:val="right" w:pos="1049"/>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На 31 декабря 2012 года Компания имела договоры на процентные свопы в общей сумме 410 000 000 долларов США (2011 г.: ноль), по которым Компания осуществляла выплаты по фиксированной ставке в обмен на плавающую ставку. На 31 декабря 2012 года отрицательная справедливая стоимость данных договоров составляла 4 132 419 долларов США (2011 г.: ноль). Дополнительная информация о договоре представлена ниже.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6525"/>
        <w:gridCol w:w="1412"/>
        <w:gridCol w:w="1411"/>
      </w:tblGrid>
      <w:tr w:rsidR="0073427F" w:rsidRPr="0073427F" w:rsidTr="0073427F">
        <w:tc>
          <w:tcPr>
            <w:tcW w:w="6525" w:type="dxa"/>
            <w:tcBorders>
              <w:top w:val="nil"/>
              <w:left w:val="nil"/>
              <w:bottom w:val="nil"/>
              <w:right w:val="nil"/>
            </w:tcBorders>
          </w:tcPr>
          <w:p w:rsidR="0073427F" w:rsidRPr="0073427F" w:rsidRDefault="0073427F" w:rsidP="0073427F">
            <w:pPr>
              <w:widowControl w:val="0"/>
              <w:tabs>
                <w:tab w:val="left" w:pos="6434"/>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Условная сумма договора </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tcPr>
          <w:p w:rsidR="0073427F" w:rsidRPr="0073427F" w:rsidRDefault="0073427F" w:rsidP="0073427F">
            <w:pPr>
              <w:widowControl w:val="0"/>
              <w:tabs>
                <w:tab w:val="center" w:pos="735"/>
                <w:tab w:val="left" w:pos="1471"/>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 xml:space="preserve">Фиксированная ставка договора </w:t>
            </w:r>
            <w:r w:rsidRPr="0073427F">
              <w:rPr>
                <w:rFonts w:ascii="Tahoma" w:eastAsia="Times New Roman" w:hAnsi="Tahoma" w:cs="Tahoma"/>
                <w:color w:val="000000"/>
                <w:sz w:val="18"/>
                <w:szCs w:val="18"/>
                <w:lang w:eastAsia="ru-RU" w:bidi="ru-RU"/>
              </w:rPr>
              <w:tab/>
            </w:r>
          </w:p>
        </w:tc>
        <w:tc>
          <w:tcPr>
            <w:tcW w:w="1411" w:type="dxa"/>
            <w:tcBorders>
              <w:top w:val="nil"/>
              <w:left w:val="nil"/>
              <w:bottom w:val="nil"/>
              <w:right w:val="nil"/>
            </w:tcBorders>
          </w:tcPr>
          <w:p w:rsidR="0073427F" w:rsidRPr="0073427F" w:rsidRDefault="0073427F" w:rsidP="0073427F">
            <w:pPr>
              <w:widowControl w:val="0"/>
              <w:tabs>
                <w:tab w:val="center" w:pos="1015"/>
                <w:tab w:val="left" w:pos="203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 xml:space="preserve">Дата истечения срока действия договора </w:t>
            </w:r>
            <w:r w:rsidRPr="0073427F">
              <w:rPr>
                <w:rFonts w:ascii="Tahoma" w:eastAsia="Times New Roman" w:hAnsi="Tahoma" w:cs="Tahoma"/>
                <w:color w:val="000000"/>
                <w:sz w:val="18"/>
                <w:szCs w:val="18"/>
                <w:lang w:eastAsia="ru-RU" w:bidi="ru-RU"/>
              </w:rPr>
              <w:tab/>
            </w:r>
          </w:p>
        </w:tc>
      </w:tr>
      <w:tr w:rsidR="0073427F" w:rsidRPr="0073427F" w:rsidTr="0073427F">
        <w:tc>
          <w:tcPr>
            <w:tcW w:w="6525"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6525" w:type="dxa"/>
            <w:tcBorders>
              <w:top w:val="nil"/>
              <w:left w:val="nil"/>
              <w:bottom w:val="nil"/>
              <w:right w:val="nil"/>
            </w:tcBorders>
          </w:tcPr>
          <w:p w:rsidR="0073427F" w:rsidRPr="0073427F" w:rsidRDefault="0073427F" w:rsidP="0073427F">
            <w:pPr>
              <w:widowControl w:val="0"/>
              <w:tabs>
                <w:tab w:val="left" w:pos="6434"/>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205 000 000 долларов США</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0,94%</w:t>
            </w:r>
          </w:p>
        </w:tc>
        <w:tc>
          <w:tcPr>
            <w:tcW w:w="1411" w:type="dxa"/>
            <w:tcBorders>
              <w:top w:val="nil"/>
              <w:left w:val="nil"/>
              <w:bottom w:val="nil"/>
              <w:right w:val="nil"/>
            </w:tcBorders>
          </w:tcPr>
          <w:p w:rsidR="0073427F" w:rsidRPr="0073427F" w:rsidRDefault="0073427F" w:rsidP="0073427F">
            <w:pPr>
              <w:widowControl w:val="0"/>
              <w:tabs>
                <w:tab w:val="center" w:pos="660"/>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15 июля 2016 г.</w:t>
            </w:r>
            <w:r w:rsidRPr="0073427F">
              <w:rPr>
                <w:rFonts w:ascii="Tahoma" w:eastAsia="Times New Roman" w:hAnsi="Tahoma" w:cs="Tahoma"/>
                <w:color w:val="000000"/>
                <w:sz w:val="18"/>
                <w:szCs w:val="18"/>
                <w:lang w:eastAsia="ru-RU" w:bidi="ru-RU"/>
              </w:rPr>
              <w:tab/>
            </w:r>
          </w:p>
        </w:tc>
      </w:tr>
      <w:tr w:rsidR="0073427F" w:rsidRPr="0073427F" w:rsidTr="0073427F">
        <w:tc>
          <w:tcPr>
            <w:tcW w:w="6525" w:type="dxa"/>
            <w:tcBorders>
              <w:top w:val="nil"/>
              <w:left w:val="nil"/>
              <w:bottom w:val="nil"/>
              <w:right w:val="nil"/>
            </w:tcBorders>
          </w:tcPr>
          <w:p w:rsidR="0073427F" w:rsidRPr="0073427F" w:rsidRDefault="0073427F" w:rsidP="0073427F">
            <w:pPr>
              <w:widowControl w:val="0"/>
              <w:tabs>
                <w:tab w:val="left" w:pos="6434"/>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220 000 000 долларов США</w:t>
            </w:r>
            <w:r w:rsidRPr="0073427F">
              <w:rPr>
                <w:rFonts w:ascii="Tahoma" w:eastAsia="Times New Roman" w:hAnsi="Tahoma" w:cs="Tahoma"/>
                <w:color w:val="000000"/>
                <w:sz w:val="18"/>
                <w:szCs w:val="18"/>
                <w:lang w:eastAsia="ru-RU" w:bidi="ru-RU"/>
              </w:rPr>
              <w:tab/>
            </w:r>
          </w:p>
        </w:tc>
        <w:tc>
          <w:tcPr>
            <w:tcW w:w="1412"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0,94%</w:t>
            </w:r>
          </w:p>
        </w:tc>
        <w:tc>
          <w:tcPr>
            <w:tcW w:w="1411" w:type="dxa"/>
            <w:tcBorders>
              <w:top w:val="nil"/>
              <w:left w:val="nil"/>
              <w:bottom w:val="nil"/>
              <w:right w:val="nil"/>
            </w:tcBorders>
          </w:tcPr>
          <w:p w:rsidR="0073427F" w:rsidRPr="0073427F" w:rsidRDefault="0073427F" w:rsidP="0073427F">
            <w:pPr>
              <w:widowControl w:val="0"/>
              <w:tabs>
                <w:tab w:val="center" w:pos="660"/>
                <w:tab w:val="left" w:pos="132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 июля 2017 г.</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19. </w:t>
      </w:r>
      <w:r w:rsidRPr="0073427F">
        <w:rPr>
          <w:rFonts w:ascii="Tahoma" w:eastAsia="Times New Roman" w:hAnsi="Tahoma" w:cs="Tahoma"/>
          <w:b/>
          <w:bCs/>
          <w:color w:val="000000"/>
          <w:sz w:val="18"/>
          <w:szCs w:val="18"/>
          <w:lang w:eastAsia="ru-RU" w:bidi="ru-RU"/>
        </w:rPr>
        <w:noBreakHyphen/>
        <w:t xml:space="preserve">Дебиторская задолженность по долгосрочным займам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собственным дочерним предприятиям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284,178,750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149,452,666</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связанным сторонам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27,435,445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84,024,631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третьим сторонам</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329,756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311,943,951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233,477,297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 вычетом текущей части</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(17,781,224)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(10,122,155)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Долгосрочная часть</w:t>
            </w:r>
            <w:r w:rsidRPr="0073427F">
              <w:rPr>
                <w:rFonts w:ascii="Tahoma" w:eastAsia="Times New Roman" w:hAnsi="Tahoma" w:cs="Tahoma"/>
                <w:b/>
                <w:bCs/>
                <w:color w:val="000000"/>
                <w:sz w:val="18"/>
                <w:szCs w:val="18"/>
                <w:lang w:eastAsia="ru-RU" w:bidi="ru-RU"/>
              </w:rPr>
              <w:noBreakHyphen/>
              <w:t xml:space="preserve"> </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294,162,727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223,355,142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Займы подлежат </w:t>
      </w:r>
      <w:proofErr w:type="gramStart"/>
      <w:r w:rsidRPr="0073427F">
        <w:rPr>
          <w:rFonts w:ascii="Tahoma" w:eastAsia="Times New Roman" w:hAnsi="Tahoma" w:cs="Tahoma"/>
          <w:color w:val="000000"/>
          <w:sz w:val="18"/>
          <w:szCs w:val="18"/>
          <w:lang w:eastAsia="ru-RU" w:bidi="ru-RU"/>
        </w:rPr>
        <w:t>погашению</w:t>
      </w:r>
      <w:proofErr w:type="gramEnd"/>
      <w:r w:rsidRPr="0073427F">
        <w:rPr>
          <w:rFonts w:ascii="Tahoma" w:eastAsia="Times New Roman" w:hAnsi="Tahoma" w:cs="Tahoma"/>
          <w:color w:val="000000"/>
          <w:sz w:val="18"/>
          <w:szCs w:val="18"/>
          <w:lang w:eastAsia="ru-RU" w:bidi="ru-RU"/>
        </w:rPr>
        <w:t xml:space="preserve"> согласно следующему графику: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Менее 1 года</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17,781,224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10,122,155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Сроком от 1 года до 5 лет</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294,162,727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223,355,142</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311,943,951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233,477,297</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noBreakHyphen/>
        <w:t>Справедливая стоимость долгосрочной дебиторской задолженности приблизительно равна ее балансовой стоимости, как указано выше.</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20. Дебиторская задолженность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собственных дочерних предприятий и прочих связанных сторон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19,607,757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51,485,825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Текущие счета акционеров </w:t>
            </w:r>
            <w:r w:rsidRPr="0073427F">
              <w:rPr>
                <w:rFonts w:ascii="Tahoma" w:eastAsia="Times New Roman" w:hAnsi="Tahoma" w:cs="Tahoma"/>
                <w:color w:val="000000"/>
                <w:sz w:val="18"/>
                <w:szCs w:val="18"/>
                <w:lang w:eastAsia="ru-RU" w:bidi="ru-RU"/>
              </w:rPr>
              <w:noBreakHyphen/>
              <w:t xml:space="preserve"> дебетовые остатки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1,323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1,323</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Депозиты и предоплата</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6,884,196</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Прочая дебиторская задолженность</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6,327,888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164,101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25,936,968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58,535,445</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Справедливая стоимость торговой и прочей дебиторской задолженности со сроком погашения до 1 года приблизительно равна ее балансовой стоимости, как указано выше.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46"/>
          <w:footerReference w:type="default" r:id="rId47"/>
          <w:pgSz w:w="11952" w:h="16848"/>
          <w:pgMar w:top="1021" w:right="1190" w:bottom="1021" w:left="1418" w:header="720" w:footer="720" w:gutter="0"/>
          <w:cols w:space="720"/>
          <w:noEndnote/>
        </w:sect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21. Денежные средства и их эквиваленты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Для целей отчета о движении денежных средств денежные средства и их эквиваленты представлены следующим образом:</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Средства в банке</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2,614,659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12,253,214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2,614,659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12,253,214</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noBreakHyphen/>
      </w:r>
      <w:r w:rsidRPr="0073427F">
        <w:rPr>
          <w:rFonts w:ascii="Tahoma" w:eastAsia="Times New Roman" w:hAnsi="Tahoma" w:cs="Tahoma"/>
          <w:b/>
          <w:color w:val="000000"/>
          <w:sz w:val="18"/>
          <w:szCs w:val="18"/>
          <w:lang w:eastAsia="ru-RU" w:bidi="ru-RU"/>
        </w:rPr>
        <w:t>Неденежные операции</w:t>
      </w:r>
      <w:r w:rsidRPr="0073427F">
        <w:rPr>
          <w:rFonts w:ascii="Tahoma" w:eastAsia="Times New Roman" w:hAnsi="Tahoma" w:cs="Tahoma"/>
          <w:color w:val="000000"/>
          <w:sz w:val="18"/>
          <w:szCs w:val="18"/>
          <w:lang w:eastAsia="ru-RU" w:bidi="ru-RU"/>
        </w:rPr>
        <w:t xml:space="preserve">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Информация об основных неденежных операциях представлена в отчете о движении денежных средств. Компания проводит периодическую оценку кредитного рейтинга финансовых </w:t>
      </w:r>
      <w:proofErr w:type="gramStart"/>
      <w:r w:rsidRPr="0073427F">
        <w:rPr>
          <w:rFonts w:ascii="Tahoma" w:eastAsia="Times New Roman" w:hAnsi="Tahoma" w:cs="Tahoma"/>
          <w:color w:val="000000"/>
          <w:sz w:val="18"/>
          <w:szCs w:val="18"/>
          <w:lang w:eastAsia="ru-RU" w:bidi="ru-RU"/>
        </w:rPr>
        <w:t>учреждениях</w:t>
      </w:r>
      <w:proofErr w:type="gramEnd"/>
      <w:r w:rsidRPr="0073427F">
        <w:rPr>
          <w:rFonts w:ascii="Tahoma" w:eastAsia="Times New Roman" w:hAnsi="Tahoma" w:cs="Tahoma"/>
          <w:color w:val="000000"/>
          <w:sz w:val="18"/>
          <w:szCs w:val="18"/>
          <w:lang w:eastAsia="ru-RU" w:bidi="ru-RU"/>
        </w:rPr>
        <w:t>, в которых размещены ее депозиты.</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22. Акционерный капитал и эмиссионный доход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0" w:type="dxa"/>
          <w:right w:w="0" w:type="dxa"/>
        </w:tblCellMar>
        <w:tblLook w:val="0000" w:firstRow="0" w:lastRow="0" w:firstColumn="0" w:lastColumn="0" w:noHBand="0" w:noVBand="0"/>
      </w:tblPr>
      <w:tblGrid>
        <w:gridCol w:w="2370"/>
        <w:gridCol w:w="1111"/>
        <w:gridCol w:w="1139"/>
        <w:gridCol w:w="907"/>
        <w:gridCol w:w="1355"/>
        <w:gridCol w:w="1236"/>
        <w:gridCol w:w="1236"/>
      </w:tblGrid>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Выпущенный и полностью оплаченный</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Количество обыкновенных акций</w:t>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Количество привилегированных акций</w:t>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Акционерный капитал</w:t>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Эмиссионный доход </w:t>
            </w:r>
            <w:r w:rsidRPr="0073427F">
              <w:rPr>
                <w:rFonts w:ascii="Tahoma" w:eastAsia="Times New Roman" w:hAnsi="Tahoma" w:cs="Tahoma"/>
                <w:b/>
                <w:bCs/>
                <w:color w:val="000000"/>
                <w:sz w:val="18"/>
                <w:szCs w:val="18"/>
                <w:lang w:eastAsia="ru-RU" w:bidi="ru-RU"/>
              </w:rPr>
              <w:noBreakHyphen/>
              <w:t xml:space="preserve"> обыкновенные акции</w:t>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Эмиссионный доход </w:t>
            </w:r>
            <w:r w:rsidRPr="0073427F">
              <w:rPr>
                <w:rFonts w:ascii="Tahoma" w:eastAsia="Times New Roman" w:hAnsi="Tahoma" w:cs="Tahoma"/>
                <w:b/>
                <w:bCs/>
                <w:color w:val="000000"/>
                <w:sz w:val="18"/>
                <w:szCs w:val="18"/>
                <w:lang w:eastAsia="ru-RU" w:bidi="ru-RU"/>
              </w:rPr>
              <w:noBreakHyphen/>
              <w:t xml:space="preserve"> погашаемые привилегированные акции</w:t>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Итого</w:t>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noBreakHyphen/>
              <w:t>Остаток на 1 января 2011 г.</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13,000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17,764</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504,583,507</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504,601,271</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Уменьшение капитала</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(36,017,507)</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(36,017,507)</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Остаток на 31 декабря 2011 года / 1 января 2012 года</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17,764</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468,566,000</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468,583,764</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Дробление акций</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1,287,000</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Дополнительный выпуск обыкновенных акций 2 марта 2012 года</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48,893,544</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650,040</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2,679,927</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3,329,967</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Выпуск погашаемых привилегированных акций 6 декабря 2012 года</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16,790</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168</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167,899,832</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167,900,000</w:t>
            </w:r>
            <w:r w:rsidRPr="0073427F">
              <w:rPr>
                <w:rFonts w:ascii="Tahoma" w:eastAsia="Times New Roman" w:hAnsi="Tahoma" w:cs="Tahoma"/>
                <w:color w:val="000000"/>
                <w:sz w:val="18"/>
                <w:szCs w:val="18"/>
                <w:lang w:eastAsia="ru-RU" w:bidi="ru-RU"/>
              </w:rPr>
              <w:tab/>
            </w:r>
          </w:p>
        </w:tc>
      </w:tr>
      <w:tr w:rsidR="0073427F" w:rsidRPr="0073427F" w:rsidTr="0073427F">
        <w:tc>
          <w:tcPr>
            <w:tcW w:w="2370" w:type="dxa"/>
            <w:tcBorders>
              <w:top w:val="nil"/>
              <w:left w:val="nil"/>
              <w:bottom w:val="nil"/>
              <w:right w:val="nil"/>
            </w:tcBorders>
            <w:tcMar>
              <w:left w:w="39" w:type="dxa"/>
              <w:right w:w="39"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Остаток на 31 декабря 2012 г.</w:t>
            </w:r>
          </w:p>
        </w:tc>
        <w:tc>
          <w:tcPr>
            <w:tcW w:w="1111"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50,193,544</w:t>
            </w:r>
            <w:r w:rsidRPr="0073427F">
              <w:rPr>
                <w:rFonts w:ascii="Tahoma" w:eastAsia="Times New Roman" w:hAnsi="Tahoma" w:cs="Tahoma"/>
                <w:color w:val="000000"/>
                <w:sz w:val="18"/>
                <w:szCs w:val="18"/>
                <w:lang w:eastAsia="ru-RU" w:bidi="ru-RU"/>
              </w:rPr>
              <w:tab/>
            </w:r>
          </w:p>
        </w:tc>
        <w:tc>
          <w:tcPr>
            <w:tcW w:w="1139"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16,790</w:t>
            </w:r>
            <w:r w:rsidRPr="0073427F">
              <w:rPr>
                <w:rFonts w:ascii="Tahoma" w:eastAsia="Times New Roman" w:hAnsi="Tahoma" w:cs="Tahoma"/>
                <w:color w:val="000000"/>
                <w:sz w:val="18"/>
                <w:szCs w:val="18"/>
                <w:lang w:eastAsia="ru-RU" w:bidi="ru-RU"/>
              </w:rPr>
              <w:tab/>
            </w:r>
          </w:p>
        </w:tc>
        <w:tc>
          <w:tcPr>
            <w:tcW w:w="907" w:type="dxa"/>
            <w:tcBorders>
              <w:top w:val="nil"/>
              <w:left w:val="nil"/>
              <w:bottom w:val="nil"/>
              <w:right w:val="nil"/>
            </w:tcBorders>
            <w:tcMar>
              <w:left w:w="45" w:type="dxa"/>
              <w:right w:w="45"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667,972</w:t>
            </w:r>
            <w:r w:rsidRPr="0073427F">
              <w:rPr>
                <w:rFonts w:ascii="Tahoma" w:eastAsia="Times New Roman" w:hAnsi="Tahoma" w:cs="Tahoma"/>
                <w:color w:val="000000"/>
                <w:sz w:val="18"/>
                <w:szCs w:val="18"/>
                <w:lang w:eastAsia="ru-RU" w:bidi="ru-RU"/>
              </w:rPr>
              <w:tab/>
            </w:r>
          </w:p>
        </w:tc>
        <w:tc>
          <w:tcPr>
            <w:tcW w:w="1355"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471,245,927</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167,899,832</w:t>
            </w:r>
            <w:r w:rsidRPr="0073427F">
              <w:rPr>
                <w:rFonts w:ascii="Tahoma" w:eastAsia="Times New Roman" w:hAnsi="Tahoma" w:cs="Tahoma"/>
                <w:color w:val="000000"/>
                <w:sz w:val="18"/>
                <w:szCs w:val="18"/>
                <w:lang w:eastAsia="ru-RU" w:bidi="ru-RU"/>
              </w:rPr>
              <w:tab/>
            </w:r>
          </w:p>
        </w:tc>
        <w:tc>
          <w:tcPr>
            <w:tcW w:w="1236"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639,813,731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29 декабря 2011 года Совет директоров предложил, а акционеры Компании единогласно утвердили решение об уменьшении счета эмиссионного дохода на 36 018 тысяч долларов США и взноса акционеров на 61 360 тысяч долларов США. Указанное уменьшение было осуществлено за счет передачи финансовых инструментов 29 декабря 2011 года. Уменьшение эмиссионного дохода должно было быть подтверждено Окружным судом Никосии. 21 марта 2012 года Окружной суд Никосии подтвердил решение об уменьшении эмиссионного дохода, и Секретарь Компании передал его в Реестр компаний 28 марта 2012 года. </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29 декабря 2011 года был осуществлен зачет 67 376 тысяч долларов США, подлежащих выплате акционерам в связи с указанным выше уменьшением капитала, против займа, предоставленного компании O1 Group Limited. Остаток в сумме 30 000 тысяч долларов США был уплачен в течение 2012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color w:val="000000"/>
          <w:sz w:val="18"/>
          <w:szCs w:val="18"/>
          <w:lang w:eastAsia="ru-RU" w:bidi="ru-RU"/>
        </w:rPr>
        <w:br w:type="page"/>
      </w:r>
      <w:r w:rsidRPr="0073427F">
        <w:rPr>
          <w:rFonts w:ascii="Tahoma" w:eastAsia="Times New Roman" w:hAnsi="Tahoma" w:cs="Tahoma"/>
          <w:b/>
          <w:color w:val="000000"/>
          <w:sz w:val="18"/>
          <w:szCs w:val="18"/>
          <w:lang w:eastAsia="ru-RU" w:bidi="ru-RU"/>
        </w:rPr>
        <w:t>22. Акционерный капитал и эмиссионный доход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 марта 2012 года Компания приняла решение о том, что ее объявленный и выпущенный акционерный капитал в размере 13 тысяч евро, разделенный на 13 000 акций стоимостью 1 евро за акцию, будет подразделен на 1 300 000 акций стоимостью 0,01 евро за акцию. В тот же день Компания приняла решение о том, что объявленный акционерный капитал может быть увеличен с 13 тысяч евро, разделенных на 1 300 000 акций стоимостью 0,01 евро за акцию, до 2 000 тысяч евро, разделенных на 200 000 000 акций стоимостью 0,01 евро за акцию.</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 марта 2012 года Компания выпустила 48 700 000 обыкновенных акций стоимостью 0,01 евро за акцию по номинальной стоимости и 193 544 обыкновенных акции стоимостью 0,01 евро за акцию с премией 10,4149 евро на акцию. Общая сумма возмещения составила 2 505 000 евро (3 300 тысяч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5 декабря 2012 года Компания приняла решение о том, что объявленный акционерный капитал может быть увеличен с 2 000 000 евро, разделенных на 200 000 000 обыкновенных акций номинальной стоимостью 0,01 евро за акцию, до 2 000 000 евро и 173 долларов США, разделенных на 200 000 000 обыкновенных акций номинальной стоимостью 0,01 евро, и 17 300 погашаемых привилегированных акций</w:t>
      </w:r>
      <w:proofErr w:type="gramEnd"/>
      <w:r w:rsidRPr="0073427F">
        <w:rPr>
          <w:rFonts w:ascii="Tahoma" w:eastAsia="Times New Roman" w:hAnsi="Tahoma" w:cs="Tahoma"/>
          <w:color w:val="000000"/>
          <w:sz w:val="18"/>
          <w:szCs w:val="18"/>
          <w:lang w:eastAsia="ru-RU" w:bidi="ru-RU"/>
        </w:rPr>
        <w:t xml:space="preserve"> номинальной стоимостью 0,01 доллара США за счет создания 17 300 новых погашаемых привилегированных акций номинальной стоимостью 0,01 доллара США за акцию.</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6 декабря 2012 года Компания выпустила 16 790 погашаемых привилегированных акций стоимостью 0,01 доллара США за акцию с премией 9 999,99 доллара США на акцию.</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Погашаемые привилегированные акции (1) конвертируются по усмотрению владельца в обыкновенные акции в соответствии с установленным коэффициентом конвертации через 36 месяцев после выпуска, (2) погашаются Компанией по ее исключительному усмотрению в любое время на сумму, равную их номинальной стоимости плюс премии или иному выпущенному капиталу, плюс накопленные, невыплаченные и причитающиеся к выплате дивиденды, (3) не имеют прав голоса, (4) имеют возможность</w:t>
      </w:r>
      <w:proofErr w:type="gramEnd"/>
      <w:r w:rsidRPr="0073427F">
        <w:rPr>
          <w:rFonts w:ascii="Tahoma" w:eastAsia="Times New Roman" w:hAnsi="Tahoma" w:cs="Tahoma"/>
          <w:color w:val="000000"/>
          <w:sz w:val="18"/>
          <w:szCs w:val="18"/>
          <w:lang w:eastAsia="ru-RU" w:bidi="ru-RU"/>
        </w:rPr>
        <w:t xml:space="preserve"> </w:t>
      </w:r>
      <w:proofErr w:type="gramStart"/>
      <w:r w:rsidRPr="0073427F">
        <w:rPr>
          <w:rFonts w:ascii="Tahoma" w:eastAsia="Times New Roman" w:hAnsi="Tahoma" w:cs="Tahoma"/>
          <w:color w:val="000000"/>
          <w:sz w:val="18"/>
          <w:szCs w:val="18"/>
          <w:lang w:eastAsia="ru-RU" w:bidi="ru-RU"/>
        </w:rPr>
        <w:t>получения квартальных дивидендов по ставке 2,5% по исключительному усмотрению и решению Совета директоров Компании и (5) если дивиденды на подлежащие погашению привилегированные акции не выплачены, то (а) невыплаченные дивиденды аккумулируются для будущих платежей, (б) владельцы погашаемых привилегированных акций получают права голоса до тех пор, пока накопленные дивиденды на погашаемые привилегированные акции не будут выплачены в полном объеме и (в) дивиденды</w:t>
      </w:r>
      <w:proofErr w:type="gramEnd"/>
      <w:r w:rsidRPr="0073427F">
        <w:rPr>
          <w:rFonts w:ascii="Tahoma" w:eastAsia="Times New Roman" w:hAnsi="Tahoma" w:cs="Tahoma"/>
          <w:color w:val="000000"/>
          <w:sz w:val="18"/>
          <w:szCs w:val="18"/>
          <w:lang w:eastAsia="ru-RU" w:bidi="ru-RU"/>
        </w:rPr>
        <w:t xml:space="preserve"> на обыкновенные акции не будут выплачиваться до тех пор, пока в полном объеме не будут выплачены накопленные дивиденды на погашаемые привилегированные акции.</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27 декабря 2012 года Совет директоров утвердил выплату дивидендов в размере 3 950 000 долларов США держателям погашаемых привилегированных акций (Примечание 12).</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23. Взнос акционеров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61,359,526</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Дивиденды уплаченные  </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(61,359,526)</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48"/>
          <w:footerReference w:type="default" r:id="rId49"/>
          <w:pgSz w:w="11952" w:h="16848"/>
          <w:pgMar w:top="1021" w:right="1190" w:bottom="1021" w:left="1418" w:header="720" w:footer="720" w:gutter="0"/>
          <w:cols w:space="720"/>
          <w:noEndnote/>
        </w:sect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24. Заемные средства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Краткосрочные кредиты и займы</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Краткосрочные кредиты и займы</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3,669,140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Банковские кредиты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10,007,787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Прочие займы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15,265,000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связанных сторон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40,668,860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r w:rsidRPr="0073427F">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25,272,787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44,338,000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Долгосрочные кредиты и займы</w:t>
            </w: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Банковские кредиты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150,141,054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111,874,090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дочерних предприятий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48,453,217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полученные от связанных сторон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144,753,539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13,290,414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294,894,593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173,617,721</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Итого </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320,167,380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217,955,721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Сроки погашения долгосрочных кредитов и займов: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От 1 года до 2 лет</w:t>
            </w:r>
          </w:p>
        </w:tc>
        <w:tc>
          <w:tcPr>
            <w:tcW w:w="1411" w:type="dxa"/>
            <w:tcBorders>
              <w:top w:val="nil"/>
              <w:left w:val="nil"/>
              <w:bottom w:val="nil"/>
              <w:right w:val="nil"/>
            </w:tcBorders>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124,173,859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От 2 до 5 лет</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294,894,593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49,443,862</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294,894,593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173,617,721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3427F">
        <w:rPr>
          <w:rFonts w:ascii="Tahoma" w:eastAsia="Times New Roman" w:hAnsi="Tahoma" w:cs="Tahoma"/>
          <w:color w:val="000000"/>
          <w:sz w:val="18"/>
          <w:szCs w:val="18"/>
          <w:lang w:eastAsia="ru-RU" w:bidi="ru-RU"/>
        </w:rPr>
        <w:t>30 декабря 2011 года был подписан кредитный договор с VTB Capital Plc на сумму 263 000 000 долларов США с процентной ставкой в размере трехмесячного ЛИБОР + 6,25% + капитализированная процентная ставка 4,35%. Данный кредит подлежит погашению 30 декабря 2014 года. 20 июля 2012 года компания подписала дополнительное соглашение с VTB Capital Plc об уменьшении суммы кредита до 223 000 000 долларов</w:t>
      </w:r>
      <w:proofErr w:type="gramEnd"/>
      <w:r w:rsidRPr="0073427F">
        <w:rPr>
          <w:rFonts w:ascii="Tahoma" w:eastAsia="Times New Roman" w:hAnsi="Tahoma" w:cs="Tahoma"/>
          <w:color w:val="000000"/>
          <w:sz w:val="18"/>
          <w:szCs w:val="18"/>
          <w:lang w:eastAsia="ru-RU" w:bidi="ru-RU"/>
        </w:rPr>
        <w:t xml:space="preserve"> </w:t>
      </w:r>
      <w:proofErr w:type="gramStart"/>
      <w:r w:rsidRPr="0073427F">
        <w:rPr>
          <w:rFonts w:ascii="Tahoma" w:eastAsia="Times New Roman" w:hAnsi="Tahoma" w:cs="Tahoma"/>
          <w:color w:val="000000"/>
          <w:sz w:val="18"/>
          <w:szCs w:val="18"/>
          <w:lang w:eastAsia="ru-RU" w:bidi="ru-RU"/>
        </w:rPr>
        <w:t>США и изменении процентной ставки до трехмесячного ЛИБОР + 6,25% + капитализированная процентная ставка 5,6%.</w:t>
      </w:r>
      <w:proofErr w:type="gramEnd"/>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14 августа 2012 года был подписан кредитный договор с ЗАО «Кредит Европа Банк» на сумму 10 000 000 долларов США с процентной ставкой 9,5%. Данный кредит подлежит погашению 15 марта 2013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8 ноября 2012 года был подписан договор займа с компанией Railways Development Limited на сумму 15 000 000 долларов США с процентной ставкой 12%. Данный кредит подлежит погашению 8 ноября 2013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Компания обязана выполнять ряд финансовых условий, связанных с кредитами и займами, в том числе соответствовать установленным значениям следующих ключевых коэффициентов и индексов:</w:t>
      </w:r>
    </w:p>
    <w:tbl>
      <w:tblPr>
        <w:tblW w:w="0" w:type="auto"/>
        <w:tblInd w:w="42" w:type="dxa"/>
        <w:tblLayout w:type="fixed"/>
        <w:tblCellMar>
          <w:left w:w="42" w:type="dxa"/>
          <w:right w:w="42" w:type="dxa"/>
        </w:tblCellMar>
        <w:tblLook w:val="0000" w:firstRow="0" w:lastRow="0" w:firstColumn="0" w:lastColumn="0" w:noHBand="0" w:noVBand="0"/>
      </w:tblPr>
      <w:tblGrid>
        <w:gridCol w:w="9354"/>
      </w:tblGrid>
      <w:tr w:rsidR="0073427F" w:rsidRPr="0073427F" w:rsidTr="0073427F">
        <w:tc>
          <w:tcPr>
            <w:tcW w:w="935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Соотношения стоимости кредита и стоимости актива представляют собой два различных вида коэффициентов, выраженных в форме процентного соотношения совокупной стоимости непогашенной задолженности по конкретному кредиту (с учетом определенных корректировок и в зависимости от суммы целевого кредита) и совокупной рыночной стоимости конкретного объекта недвижимости или портфеля недвижимости на основе данных последней оценки;</w:t>
            </w:r>
          </w:p>
        </w:tc>
      </w:tr>
      <w:tr w:rsidR="0073427F" w:rsidRPr="0073427F" w:rsidTr="0073427F">
        <w:tc>
          <w:tcPr>
            <w:tcW w:w="9354" w:type="dxa"/>
            <w:tcBorders>
              <w:top w:val="nil"/>
              <w:left w:val="nil"/>
              <w:bottom w:val="nil"/>
              <w:right w:val="nil"/>
            </w:tcBorders>
          </w:tcPr>
          <w:p w:rsidR="0073427F" w:rsidRPr="0073427F" w:rsidRDefault="0073427F" w:rsidP="0073427F">
            <w:pPr>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Коэффициенты покрытия обслуживания долга представлены двумя различными видами коэффициентов:</w:t>
            </w:r>
          </w:p>
          <w:p w:rsidR="0073427F" w:rsidRPr="0073427F" w:rsidRDefault="0073427F" w:rsidP="0073427F">
            <w:pPr>
              <w:widowControl w:val="0"/>
              <w:numPr>
                <w:ilvl w:val="0"/>
                <w:numId w:val="1"/>
              </w:numPr>
              <w:autoSpaceDE w:val="0"/>
              <w:autoSpaceDN w:val="0"/>
              <w:adjustRightInd w:val="0"/>
              <w:spacing w:after="0" w:line="240" w:lineRule="auto"/>
              <w:ind w:left="1328"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выраженных в процентном соотношении чистого дохода Компании или ее дочерних компаний от аренды в течение следующего 12-месячного периода и совокупности всех платежей, причитающихся к оплате Компанией или ее дочерними компаниями за указанный период;</w:t>
            </w:r>
          </w:p>
          <w:p w:rsidR="0073427F" w:rsidRPr="0073427F" w:rsidRDefault="0073427F" w:rsidP="0073427F">
            <w:pPr>
              <w:widowControl w:val="0"/>
              <w:numPr>
                <w:ilvl w:val="0"/>
                <w:numId w:val="1"/>
              </w:numPr>
              <w:autoSpaceDE w:val="0"/>
              <w:autoSpaceDN w:val="0"/>
              <w:adjustRightInd w:val="0"/>
              <w:spacing w:after="0" w:line="240" w:lineRule="auto"/>
              <w:ind w:left="1328" w:hanging="680"/>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выраженных в процентном соотношении чистого дохода Компании или ее дочерних компаний от аренды в течение следующего 12-месячного периода и совокупности основной суммы долга и суммы процентов, уплачиваемых по конкретному кредиту за указанный период;</w:t>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По состоянию на 31 декабря 2012 года и 31 декабря 2011 года Компанией были соблюдены финансовые условия, предусмотренные кредитными договорами.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50"/>
          <w:footerReference w:type="default" r:id="rId51"/>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25. Торговая и прочая кредиторская задолженность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Текущие счета акционеров </w:t>
            </w:r>
            <w:r w:rsidRPr="0073427F">
              <w:rPr>
                <w:rFonts w:ascii="Tahoma" w:eastAsia="Times New Roman" w:hAnsi="Tahoma" w:cs="Tahoma"/>
                <w:color w:val="000000"/>
                <w:sz w:val="18"/>
                <w:szCs w:val="18"/>
                <w:lang w:eastAsia="ru-RU" w:bidi="ru-RU"/>
              </w:rPr>
              <w:noBreakHyphen/>
              <w:t xml:space="preserve"> кредитовые остатки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2,331,141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30,000,005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Торговая кредиторская задолженность и начисленные обязательства</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1,164,865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53,950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Прочие кредиторы</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6,660,717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4,051,007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перед собственными дочерними предприятиями (Примечание 27)</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36,982,339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31,777</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47,139,062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34,136,739</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Справедливая стоимость торговой и прочей кредиторской задолженности со сроком погашения до 1 года приблизительно равна ее балансовой стоимости (см. выше).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26. Текущие налоговые обязательства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Налог на прибыль</w:t>
            </w: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7,115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7,115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7,115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7,115</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 Операции со связанными сторонами </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На 31 декабря 2012 года материнской компанией Компании являлась O1 Group Limited (ранее - Salastar Investments Ltd, Cyprus), которой принадлежало 54,614% (2011 г.: 95,246%) обыкновенных акций Компании. На 31 декабря 2012 года компания Coniston Management Limited (Британские Виргинские острова) владела 45,0% (2011 г.: 4,754%) обыкновенных акций Компании. Основным владельцем Группы являлся г-н Борис Минц, гражданин Российской Федерации (далее - «Основной владелец»). Информация об изменениях структуры собственности после 31 декабря 2012 года представлена в Примечании 31. </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Для целей составления данной финансовой отчетности стороны считаются связанными, если одна из них имеет возможность контролировать другую, находится под общим контролем или может оказывать существенное влияние при принятии другой стороной финансовых и операционных решений, как изложено в МСФО (IAS) 24 «Раскрытие информации о связанных сторонах». При рассмотрении каждого случая отношений, которые могут являться отношениями со связанными сторонами, необходимо принимать во внимание содержание (сущность) таких отношений, а не только их юридическую форму.</w:t>
      </w: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 2012 и 2011 гг. в ходе обычной деятельности были осуществлены операции со связанными сторонами. Некоторые из этих операций, особенно в тех случаях, когда отсутствует активный рынок, были совершены на условиях, согласованных между сторонами.</w:t>
      </w: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Со связанными сторонами осуществлялись следующие операции: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27.1 Вознаграждение директоров (Примечание 8)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ind w:right="1814"/>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Информация о вознаграждении директорам, являющимся старшим руководящим персоналом, представлена ниже:</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Вознаграждение директоров</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643,472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205,565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Выплаты, основанные на акциях</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11,000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11,000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654,472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216,565</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sectPr w:rsidR="0073427F" w:rsidRPr="0073427F" w:rsidSect="00CB150F">
          <w:headerReference w:type="default" r:id="rId52"/>
          <w:footerReference w:type="default" r:id="rId53"/>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27.2 Процентный доход (Примечание 5) </w:t>
      </w:r>
    </w:p>
    <w:tbl>
      <w:tblPr>
        <w:tblW w:w="0" w:type="auto"/>
        <w:tblInd w:w="56" w:type="dxa"/>
        <w:tblLayout w:type="fixed"/>
        <w:tblCellMar>
          <w:left w:w="0" w:type="dxa"/>
          <w:right w:w="0" w:type="dxa"/>
        </w:tblCellMar>
        <w:tblLook w:val="0000" w:firstRow="0" w:lastRow="0" w:firstColumn="0" w:lastColumn="0" w:noHBand="0" w:noVBand="0"/>
      </w:tblPr>
      <w:tblGrid>
        <w:gridCol w:w="6621"/>
        <w:gridCol w:w="1412"/>
        <w:gridCol w:w="1281"/>
      </w:tblGrid>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Предприятия Группы: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Flybase Investments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2,942,854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3,246,299</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ЗАО «Стройпромпласт»</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3,505,509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3,984,637</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Sandix Group B.V.</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4,682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1,143</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Dawson Int'l Inc.</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1,350,270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1,350,270</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Xeroma Management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577,750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60,304</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Paremos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13,846,300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20,718</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Eagleman Limited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956,256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Ratado Holding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3,343,097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ООО Фирма «Морава»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14,760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2,560</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Акционер:</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Group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711,133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r>
      <w:tr w:rsidR="0073427F" w:rsidRPr="0073427F" w:rsidTr="0073427F">
        <w:tc>
          <w:tcPr>
            <w:tcW w:w="6621"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27,252,611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8,665,931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27.3 Процентные расходы </w:t>
      </w:r>
    </w:p>
    <w:tbl>
      <w:tblPr>
        <w:tblW w:w="0" w:type="auto"/>
        <w:tblInd w:w="56" w:type="dxa"/>
        <w:tblLayout w:type="fixed"/>
        <w:tblCellMar>
          <w:left w:w="0" w:type="dxa"/>
          <w:right w:w="0" w:type="dxa"/>
        </w:tblCellMar>
        <w:tblLook w:val="0000" w:firstRow="0" w:lastRow="0" w:firstColumn="0" w:lastColumn="0" w:noHBand="0" w:noVBand="0"/>
      </w:tblPr>
      <w:tblGrid>
        <w:gridCol w:w="6638"/>
        <w:gridCol w:w="1412"/>
        <w:gridCol w:w="1281"/>
      </w:tblGrid>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 (скорректированные данные)</w:t>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Предприятия Группы: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Horus Capital</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520,504</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Effusive Holdings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502,083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389,769</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Krugozor Business Center (Cyprus)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2,831,412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30,432</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Le Fortaco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1,948,182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20,471</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Business Center Stanislavsky (Cyprus)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2,001,196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21,960</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Avion Corporate Business Center (Cyprus)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1,080,025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11,878</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Calyasca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2,236</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Sharezone Capital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1,312,816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243,860</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Valnaz Investments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79,390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Предприятие под общим контролем:</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Trust Services Ltd</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28,852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31,562</w:t>
            </w:r>
            <w:r w:rsidRPr="0073427F">
              <w:rPr>
                <w:rFonts w:ascii="Tahoma" w:eastAsia="Times New Roman" w:hAnsi="Tahoma" w:cs="Tahoma"/>
                <w:color w:val="000000"/>
                <w:sz w:val="18"/>
                <w:szCs w:val="18"/>
                <w:lang w:eastAsia="ru-RU" w:bidi="ru-RU"/>
              </w:rPr>
              <w:tab/>
            </w:r>
          </w:p>
        </w:tc>
      </w:tr>
      <w:tr w:rsidR="0073427F" w:rsidRPr="0073427F" w:rsidTr="0073427F">
        <w:tc>
          <w:tcPr>
            <w:tcW w:w="6638"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9,783,956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1,272,672</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27.4 Дебиторская задолженность дочерних предприятий (Примечание 20)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Название</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Celera Corporation</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854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51,400,854</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Krugozor Business Center (Cyprus)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1,443,970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Le Fortaco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4,025,227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Business Center Stanislavsky (Cyprus)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4,282,376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val="en-US" w:eastAsia="ru-RU" w:bidi="ru-RU"/>
              </w:rPr>
              <w:t>Avion Corporate Business Center (Cyprus)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val="en-US" w:eastAsia="ru-RU" w:bidi="ru-RU"/>
              </w:rPr>
              <w:tab/>
            </w:r>
            <w:r w:rsidRPr="0073427F">
              <w:rPr>
                <w:rFonts w:ascii="Tahoma" w:eastAsia="Times New Roman" w:hAnsi="Tahoma" w:cs="Tahoma"/>
                <w:b/>
                <w:color w:val="000000"/>
                <w:sz w:val="18"/>
                <w:szCs w:val="18"/>
                <w:lang w:eastAsia="ru-RU" w:bidi="ru-RU"/>
              </w:rPr>
              <w:t>303,236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Eagleman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5,656,136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4,770</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Sharezone Capital Ltd</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3,341,139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прочих предприятий Группы</w:t>
            </w:r>
          </w:p>
        </w:tc>
        <w:tc>
          <w:tcPr>
            <w:tcW w:w="1411" w:type="dxa"/>
            <w:tcBorders>
              <w:top w:val="nil"/>
              <w:left w:val="nil"/>
              <w:bottom w:val="nil"/>
              <w:right w:val="nil"/>
            </w:tcBorders>
            <w:tcMar>
              <w:left w:w="39" w:type="dxa"/>
              <w:right w:w="39" w:type="dxa"/>
            </w:tcMar>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554,819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80,202</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19,607,757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51,485,826</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Дебиторская задолженность дочерних предприятий является беспроцентной и подлежит погашению по требованию.</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27.5 Займы связанным сторонам (Примечание 19) </w:t>
      </w:r>
    </w:p>
    <w:tbl>
      <w:tblPr>
        <w:tblW w:w="0" w:type="auto"/>
        <w:tblInd w:w="56" w:type="dxa"/>
        <w:tblLayout w:type="fixed"/>
        <w:tblCellMar>
          <w:left w:w="0" w:type="dxa"/>
          <w:right w:w="0" w:type="dxa"/>
        </w:tblCellMar>
        <w:tblLook w:val="0000" w:firstRow="0" w:lastRow="0" w:firstColumn="0" w:lastColumn="0" w:noHBand="0" w:noVBand="0"/>
      </w:tblPr>
      <w:tblGrid>
        <w:gridCol w:w="3673"/>
        <w:gridCol w:w="2982"/>
        <w:gridCol w:w="1412"/>
        <w:gridCol w:w="1281"/>
      </w:tblGrid>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Предприятия Группы:</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уступки</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Flybase Investments Ltd</w:t>
            </w:r>
            <w:r w:rsidRPr="0073427F">
              <w:rPr>
                <w:rFonts w:ascii="Tahoma" w:eastAsia="Times New Roman" w:hAnsi="Tahoma" w:cs="Tahoma"/>
                <w:color w:val="000000"/>
                <w:sz w:val="18"/>
                <w:szCs w:val="18"/>
                <w:lang w:val="en-US" w:eastAsia="ru-RU" w:bidi="ru-RU"/>
              </w:rPr>
              <w:noBreakHyphen/>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30,000,000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2,805,501</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Dawson Int'l Inc.</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15,003,000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15,003,000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2,778,224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1,427,954</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новации с ЗАО «Стройпромпласт»</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9,400,427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47,498,307</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Sandix Group B.V.</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50,000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5,824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1,142</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Xeroma Management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13,105,000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10,005,000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638,054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60,304</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Paremos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106,510,000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106,510,000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7,783,018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20,718</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Thaletta s.a.</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5,496,554</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50,791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58,895</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ООО Фирма «Морава»</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185,305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54,450</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17,698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2,401</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Eagleman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51,120,500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956,256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Ratado Holding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102,500,001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1,480,097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Акционер:</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O1 Group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14,473,554</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9,517</w:t>
            </w:r>
            <w:r w:rsidRPr="0073427F">
              <w:rPr>
                <w:rFonts w:ascii="Tahoma" w:eastAsia="Times New Roman" w:hAnsi="Tahoma" w:cs="Tahoma"/>
                <w:color w:val="000000"/>
                <w:sz w:val="18"/>
                <w:szCs w:val="18"/>
                <w:lang w:eastAsia="ru-RU" w:bidi="ru-RU"/>
              </w:rPr>
              <w:tab/>
            </w:r>
          </w:p>
        </w:tc>
      </w:tr>
      <w:tr w:rsidR="0073427F" w:rsidRPr="0073427F" w:rsidTr="0073427F">
        <w:tc>
          <w:tcPr>
            <w:tcW w:w="3673"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311,614,195</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233,477,297</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Flybase Investments Ltd был предоставлен по ставке 8% и был погашен 15 февраля 2011 года. Задолженность по договору уступки с Fundin Investments Ltd была передана по ставке 8% и подлежит погашению 31 июня 2015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Задолженность по договору новации с Dawson International Inc. была передана Thaletta S.A. по договору уступки 31 декабря 2010 года. В первоначальном </w:t>
      </w:r>
      <w:proofErr w:type="gramStart"/>
      <w:r w:rsidRPr="0073427F">
        <w:rPr>
          <w:rFonts w:ascii="Tahoma" w:eastAsia="Times New Roman" w:hAnsi="Tahoma" w:cs="Tahoma"/>
          <w:color w:val="000000"/>
          <w:sz w:val="18"/>
          <w:szCs w:val="18"/>
          <w:lang w:eastAsia="ru-RU" w:bidi="ru-RU"/>
        </w:rPr>
        <w:t>договоре</w:t>
      </w:r>
      <w:proofErr w:type="gramEnd"/>
      <w:r w:rsidRPr="0073427F">
        <w:rPr>
          <w:rFonts w:ascii="Tahoma" w:eastAsia="Times New Roman" w:hAnsi="Tahoma" w:cs="Tahoma"/>
          <w:color w:val="000000"/>
          <w:sz w:val="18"/>
          <w:szCs w:val="18"/>
          <w:lang w:eastAsia="ru-RU" w:bidi="ru-RU"/>
        </w:rPr>
        <w:t xml:space="preserve"> займа от 10 декабря 2010 года была предусмотрена процентная ставка 9% и дата погашения 31 декабря 2013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Задолженность по договору новации с ЗАО «Стройпромпласт» была передана Thaletta S.A. по договору уступки 31 декабря 2010 года и включает основную сумму 1 157 005 699 рублей и начисленные проценты в сумме 253 418 582,94 рубля. Переданные по договору уступки займы подлежат погашению 31 декабря 2015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Sandix Group B.V. был предоставлен по ставке 6% и подлежит погашению 11 июля 2014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Xeroma Management Ltd был предоставлен по ставке 5% и подлежит погашению 31 декабря 2014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Paremos Ltd был предоставлен по ставке 13% и подлежит погашению 30 июня 2015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Thaletta s.a. был предоставлен по ставке 6% и подлежит погашению 29 июня 2014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ООО Фирма «Морава» был предоставлен по ставке 13,10% и подлежит погашению 20 мая 2014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O1 Group Ltd был предоставлен по ставке 8% и подлежит погашению 24 мая 2016 года.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Eagleman Ltd был предоставлен по ставке 5,65% и подлежит погашению 16 марта 2015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54"/>
          <w:footerReference w:type="default" r:id="rId55"/>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Ratado Holdings Ltd были предоставлены по ставке от 7,1% до 7,5% и подлежат погашению 31 июля 2014 года и 1 июля 2017 года соответственно.</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27.6 Кредиторская задолженность перед дочерними предприятиями (Примечание 25)</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u w:val="single"/>
                <w:lang w:eastAsia="ru-RU" w:bidi="ru-RU"/>
              </w:rPr>
              <w:t>Название</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Ratado Holding Ltd</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15,803,176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Eagleman Ltd</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11,967,381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Silver City Ltd</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8,433,019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Xeroma Management Ltd</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740,539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1,379</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Кредиторская задолженность перед прочими связанными сторонами</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38,224</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30,398</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36,982,339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31,777</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27.7. Займы, полученные от связанных сторон (Примечание 24) </w:t>
      </w:r>
    </w:p>
    <w:tbl>
      <w:tblPr>
        <w:tblW w:w="0" w:type="auto"/>
        <w:tblInd w:w="56" w:type="dxa"/>
        <w:tblLayout w:type="fixed"/>
        <w:tblCellMar>
          <w:left w:w="0" w:type="dxa"/>
          <w:right w:w="0" w:type="dxa"/>
        </w:tblCellMar>
        <w:tblLook w:val="0000" w:firstRow="0" w:lastRow="0" w:firstColumn="0" w:lastColumn="0" w:noHBand="0" w:noVBand="0"/>
      </w:tblPr>
      <w:tblGrid>
        <w:gridCol w:w="3685"/>
        <w:gridCol w:w="2982"/>
        <w:gridCol w:w="1411"/>
        <w:gridCol w:w="1281"/>
      </w:tblGrid>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Предприятия Группы:</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Horus Capital</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3,407,809</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76,780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Effusive Holding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12,050,000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249,769</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Sharezone Capital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24,333,000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32,425,000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1,556,676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243,860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Krugozor Business Center (Cyprus)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30,361,357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17,036,425</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1,314,407</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29,762</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Le Fortaco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27,692,972</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9,623,895</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1,540,938</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20,020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Business Center Stanislavsky (Cyprus)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28,424,246</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11,978,631</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1,094,240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21,477</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Avion Corporate Business Center (Cyprus)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14,831,963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6,187,345</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529,350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11,617</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Договор займа с Calyasca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1,047,914</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2,187</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Valnaz Investments Limited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12,995,000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lang w:eastAsia="ru-RU" w:bidi="ru-RU"/>
              </w:rPr>
              <w:t>79,390</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t>-</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Предприятие под общим контролем:</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3427F">
              <w:rPr>
                <w:rFonts w:ascii="Tahoma" w:eastAsia="Times New Roman" w:hAnsi="Tahoma" w:cs="Tahoma"/>
                <w:color w:val="000000"/>
                <w:sz w:val="18"/>
                <w:szCs w:val="18"/>
                <w:lang w:eastAsia="ru-RU" w:bidi="ru-RU"/>
              </w:rPr>
              <w:t>Договор</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займа</w:t>
            </w:r>
            <w:r w:rsidRPr="0073427F">
              <w:rPr>
                <w:rFonts w:ascii="Tahoma" w:eastAsia="Times New Roman" w:hAnsi="Tahoma" w:cs="Tahoma"/>
                <w:color w:val="000000"/>
                <w:sz w:val="18"/>
                <w:szCs w:val="18"/>
                <w:lang w:val="en-US" w:eastAsia="ru-RU" w:bidi="ru-RU"/>
              </w:rPr>
              <w:t xml:space="preserve"> </w:t>
            </w:r>
            <w:r w:rsidRPr="0073427F">
              <w:rPr>
                <w:rFonts w:ascii="Tahoma" w:eastAsia="Times New Roman" w:hAnsi="Tahoma" w:cs="Tahoma"/>
                <w:color w:val="000000"/>
                <w:sz w:val="18"/>
                <w:szCs w:val="18"/>
                <w:lang w:eastAsia="ru-RU" w:bidi="ru-RU"/>
              </w:rPr>
              <w:t>с</w:t>
            </w:r>
            <w:r w:rsidRPr="0073427F">
              <w:rPr>
                <w:rFonts w:ascii="Tahoma" w:eastAsia="Times New Roman" w:hAnsi="Tahoma" w:cs="Tahoma"/>
                <w:color w:val="000000"/>
                <w:sz w:val="18"/>
                <w:szCs w:val="18"/>
                <w:lang w:val="en-US" w:eastAsia="ru-RU" w:bidi="ru-RU"/>
              </w:rPr>
              <w:t xml:space="preserve"> O1 Trust Services Ltd</w:t>
            </w: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8,000,000</w:t>
            </w:r>
            <w:r w:rsidRPr="0073427F">
              <w:rPr>
                <w:rFonts w:ascii="Tahoma" w:eastAsia="Times New Roman" w:hAnsi="Tahoma" w:cs="Tahoma"/>
                <w:color w:val="000000"/>
                <w:sz w:val="18"/>
                <w:szCs w:val="18"/>
                <w:lang w:eastAsia="ru-RU" w:bidi="ru-RU"/>
              </w:rPr>
              <w:tab/>
            </w:r>
          </w:p>
        </w:tc>
      </w:tr>
      <w:tr w:rsidR="0073427F" w:rsidRPr="0073427F" w:rsidTr="0073427F">
        <w:tc>
          <w:tcPr>
            <w:tcW w:w="3685"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982"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144,753,539</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102,412,491</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от ассоциированной компании ЗАО «Хорус Капитал» был предоставлен по ставке 8% и подлежит погашению 17 февраля 2016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от ассоциированной компании Effusive Holding Ltd был предоставлен по ставке 5% и подлежит погашению 6 мая 2014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от ассоциированной компании Sharezone Capital Ltd был предоставлен по ставке 5% и подлежит погашению 30 июня 2017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от ассоциированной компании O1 Trust Services Ltd был предоставлен по ставке 12% и подлежит погашению 15 января 2012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56"/>
          <w:footerReference w:type="default" r:id="rId57"/>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Займы от ассоциированных компаний Krugozor Business Center (Cyprus) Ltd, Le Fortaco Ltd, Business Center Stanislavsky (Cyprus) Ltd и Avion Corporate Business Center (Cyprus) Ltd и Calyasca Ltd были предоставлены по ставке 10% и подлежат погашению 16 декабря 2016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Заем от ассоциированной компании Valnaz Investments Ltd был предоставлен по ставке 8,6% и подлежит погашению 1 ноября 2017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27.8 Текущие счета акционеров </w:t>
      </w:r>
      <w:r w:rsidRPr="0073427F">
        <w:rPr>
          <w:rFonts w:ascii="Tahoma" w:eastAsia="Times New Roman" w:hAnsi="Tahoma" w:cs="Tahoma"/>
          <w:b/>
          <w:bCs/>
          <w:color w:val="000000"/>
          <w:sz w:val="18"/>
          <w:szCs w:val="18"/>
          <w:lang w:eastAsia="ru-RU" w:bidi="ru-RU"/>
        </w:rPr>
        <w:noBreakHyphen/>
        <w:t xml:space="preserve"> дебетовые остатки (Примечание 20)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Суммы задолженности по акционерному капиталу</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1,323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1,323</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1,323</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1,323</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Текущие счета акционеров являются беспроцентными и не имеют конкретной даты погашения.</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27.9 Текущие счета акционеров </w:t>
      </w:r>
      <w:r w:rsidRPr="0073427F">
        <w:rPr>
          <w:rFonts w:ascii="Tahoma" w:eastAsia="Times New Roman" w:hAnsi="Tahoma" w:cs="Tahoma"/>
          <w:b/>
          <w:bCs/>
          <w:color w:val="000000"/>
          <w:sz w:val="18"/>
          <w:szCs w:val="18"/>
          <w:lang w:eastAsia="ru-RU" w:bidi="ru-RU"/>
        </w:rPr>
        <w:noBreakHyphen/>
        <w:t xml:space="preserve"> кредитовые остатки (Примечание 25)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2012 г.</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2011 г.</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долл. США</w:t>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Суммы задолженности перед акционерами</w:t>
            </w: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single"/>
                <w:lang w:eastAsia="ru-RU" w:bidi="ru-RU"/>
              </w:rPr>
              <w:t>2,331,141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single"/>
                <w:lang w:eastAsia="ru-RU" w:bidi="ru-RU"/>
              </w:rPr>
              <w:t>30,000,005</w:t>
            </w:r>
            <w:r w:rsidRPr="0073427F">
              <w:rPr>
                <w:rFonts w:ascii="Tahoma" w:eastAsia="Times New Roman" w:hAnsi="Tahoma" w:cs="Tahoma"/>
                <w:color w:val="000000"/>
                <w:sz w:val="18"/>
                <w:szCs w:val="18"/>
                <w:lang w:eastAsia="ru-RU" w:bidi="ru-RU"/>
              </w:rPr>
              <w:tab/>
            </w:r>
          </w:p>
        </w:tc>
      </w:tr>
      <w:tr w:rsidR="0073427F" w:rsidRPr="0073427F" w:rsidTr="0073427F">
        <w:tc>
          <w:tcPr>
            <w:tcW w:w="6667" w:type="dxa"/>
            <w:tcBorders>
              <w:top w:val="nil"/>
              <w:left w:val="nil"/>
              <w:bottom w:val="nil"/>
              <w:right w:val="nil"/>
            </w:tcBorders>
            <w:tcMar>
              <w:left w:w="56" w:type="dxa"/>
              <w:right w:w="56" w:type="dxa"/>
            </w:tcMar>
          </w:tcPr>
          <w:p w:rsidR="0073427F" w:rsidRPr="0073427F" w:rsidRDefault="0073427F" w:rsidP="0073427F">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b/>
                <w:color w:val="000000"/>
                <w:sz w:val="18"/>
                <w:szCs w:val="18"/>
                <w:u w:val="double"/>
                <w:lang w:eastAsia="ru-RU" w:bidi="ru-RU"/>
              </w:rPr>
              <w:t>2,331,141</w:t>
            </w:r>
            <w:r w:rsidRPr="0073427F">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3427F" w:rsidRPr="0073427F" w:rsidRDefault="0073427F" w:rsidP="0073427F">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ab/>
            </w:r>
            <w:r w:rsidRPr="0073427F">
              <w:rPr>
                <w:rFonts w:ascii="Tahoma" w:eastAsia="Times New Roman" w:hAnsi="Tahoma" w:cs="Tahoma"/>
                <w:color w:val="000000"/>
                <w:sz w:val="18"/>
                <w:szCs w:val="18"/>
                <w:u w:val="double"/>
                <w:lang w:eastAsia="ru-RU" w:bidi="ru-RU"/>
              </w:rPr>
              <w:t>30,000,005</w:t>
            </w:r>
            <w:r w:rsidRPr="0073427F">
              <w:rPr>
                <w:rFonts w:ascii="Tahoma" w:eastAsia="Times New Roman" w:hAnsi="Tahoma" w:cs="Tahoma"/>
                <w:color w:val="000000"/>
                <w:sz w:val="18"/>
                <w:szCs w:val="18"/>
                <w:lang w:eastAsia="ru-RU" w:bidi="ru-RU"/>
              </w:rPr>
              <w:tab/>
            </w: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Текущие счета акционеров являются беспроцентными и не имеют конкретной даты погашения.</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28. Условные обязательства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По состоянию на 31 декабря 2012 года у Компании отсутствовали </w:t>
      </w:r>
      <w:proofErr w:type="gramStart"/>
      <w:r w:rsidRPr="0073427F">
        <w:rPr>
          <w:rFonts w:ascii="Tahoma" w:eastAsia="Times New Roman" w:hAnsi="Tahoma" w:cs="Tahoma"/>
          <w:color w:val="000000"/>
          <w:sz w:val="18"/>
          <w:szCs w:val="18"/>
          <w:lang w:eastAsia="ru-RU" w:bidi="ru-RU"/>
        </w:rPr>
        <w:t>какое-либо</w:t>
      </w:r>
      <w:proofErr w:type="gramEnd"/>
      <w:r w:rsidRPr="0073427F">
        <w:rPr>
          <w:rFonts w:ascii="Tahoma" w:eastAsia="Times New Roman" w:hAnsi="Tahoma" w:cs="Tahoma"/>
          <w:color w:val="000000"/>
          <w:sz w:val="18"/>
          <w:szCs w:val="18"/>
          <w:lang w:eastAsia="ru-RU" w:bidi="ru-RU"/>
        </w:rPr>
        <w:t xml:space="preserve"> условные обязательства.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29. Договорные обязательства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Экономическая среда, в которой дочерние и ассоциированные предприятия Компании осуществляют свою деятельность.</w:t>
      </w:r>
      <w:r w:rsidRPr="0073427F">
        <w:rPr>
          <w:rFonts w:ascii="Tahoma" w:eastAsia="Times New Roman" w:hAnsi="Tahoma" w:cs="Tahoma"/>
          <w:color w:val="000000"/>
          <w:sz w:val="18"/>
          <w:szCs w:val="18"/>
          <w:lang w:eastAsia="ru-RU" w:bidi="ru-RU"/>
        </w:rPr>
        <w:t xml:space="preserve"> Экономика Российской Федерации проявляет некоторые характерные особенности, присущие развивающимся рынкам. Правовая, налоговая и нормативная система продолжают развиваться и </w:t>
      </w:r>
      <w:proofErr w:type="gramStart"/>
      <w:r w:rsidRPr="0073427F">
        <w:rPr>
          <w:rFonts w:ascii="Tahoma" w:eastAsia="Times New Roman" w:hAnsi="Tahoma" w:cs="Tahoma"/>
          <w:color w:val="000000"/>
          <w:sz w:val="18"/>
          <w:szCs w:val="18"/>
          <w:lang w:eastAsia="ru-RU" w:bidi="ru-RU"/>
        </w:rPr>
        <w:t>подвержены</w:t>
      </w:r>
      <w:proofErr w:type="gramEnd"/>
      <w:r w:rsidRPr="0073427F">
        <w:rPr>
          <w:rFonts w:ascii="Tahoma" w:eastAsia="Times New Roman" w:hAnsi="Tahoma" w:cs="Tahoma"/>
          <w:color w:val="000000"/>
          <w:sz w:val="18"/>
          <w:szCs w:val="18"/>
          <w:lang w:eastAsia="ru-RU" w:bidi="ru-RU"/>
        </w:rPr>
        <w:t xml:space="preserve"> часто вносимым изменениям. Сохраняющаяся неопределенность и волатильность на финансовых рынках, особенно в Европе, и другие риски могут оказать негативное влияние на российский финансовый и корпоративный сектор. Суммы резервов по дебиторской задолженности определяются с использованием «модели понесенных убытков» в соответствии с требованиями применимых стандартов бухгалтерского учета. Эти стандарты требуют признания убытков от обесценения дебиторской задолженности, возникающих в результате прошлых событий, и запрещают признание убытков от обесценения, которые могут возникнуть в результате будущих событий, независимо от степени вероятности наступления таких событий. Будущая экономическая ситуация и нормативно-правовая среда могут отличаться от нынешних ожиданий руководства.</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Информация о рисках Компании, связанных с экономикой и экономической ситуацией Кипра, представлена в Примечании 30.</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Налоговое законодательство</w:t>
      </w:r>
      <w:r w:rsidRPr="0073427F">
        <w:rPr>
          <w:rFonts w:ascii="Tahoma" w:eastAsia="Times New Roman" w:hAnsi="Tahoma" w:cs="Tahoma"/>
          <w:color w:val="000000"/>
          <w:sz w:val="18"/>
          <w:szCs w:val="18"/>
          <w:lang w:eastAsia="ru-RU" w:bidi="ru-RU"/>
        </w:rPr>
        <w:t xml:space="preserve"> Налоговое и таможенное законодательство Российской Федерации, действующее или по существу вступившее в силу на конец отчетного периода, допускает возможность разных толкований в применении к операциям и деятельности Группы. В связи с этим налоговые позиции, определенные руководством, и официальная документация, обосновывающая налоговые позиции, могут быть успешно оспорены соответствующими органами. Российское налоговое администрирование постепенно ужесточается, в том числе повышается риск проверок операций, не имеющих четкой финансово-хозяйственной цели или выполненных при участии контрагентов, не соблюдающих требования налогового законодательства. Налоговые периоды остаются открытыми для проверки соответствующими налоговыми органами на предмет уплаты налогов в течение трех календарных лет, предшествующих году, за который проводится проверка. В отдельных </w:t>
      </w:r>
      <w:proofErr w:type="gramStart"/>
      <w:r w:rsidRPr="0073427F">
        <w:rPr>
          <w:rFonts w:ascii="Tahoma" w:eastAsia="Times New Roman" w:hAnsi="Tahoma" w:cs="Tahoma"/>
          <w:color w:val="000000"/>
          <w:sz w:val="18"/>
          <w:szCs w:val="18"/>
          <w:lang w:eastAsia="ru-RU" w:bidi="ru-RU"/>
        </w:rPr>
        <w:t>случаях</w:t>
      </w:r>
      <w:proofErr w:type="gramEnd"/>
      <w:r w:rsidRPr="0073427F">
        <w:rPr>
          <w:rFonts w:ascii="Tahoma" w:eastAsia="Times New Roman" w:hAnsi="Tahoma" w:cs="Tahoma"/>
          <w:color w:val="000000"/>
          <w:sz w:val="18"/>
          <w:szCs w:val="18"/>
          <w:lang w:eastAsia="ru-RU" w:bidi="ru-RU"/>
        </w:rPr>
        <w:t xml:space="preserve"> проверки могут охватывать более длительные периоды.</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3427F" w:rsidRPr="0073427F" w:rsidSect="00CB150F">
          <w:headerReference w:type="default" r:id="rId58"/>
          <w:footerReference w:type="default" r:id="rId59"/>
          <w:pgSz w:w="11952" w:h="16848"/>
          <w:pgMar w:top="1021" w:right="1190" w:bottom="1021" w:left="1418" w:header="720" w:footer="720" w:gutter="0"/>
          <w:cols w:space="720"/>
          <w:noEndnote/>
        </w:sect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b/>
          <w:color w:val="000000"/>
          <w:sz w:val="18"/>
          <w:szCs w:val="18"/>
          <w:lang w:eastAsia="ru-RU" w:bidi="ru-RU"/>
        </w:rPr>
        <w:t>29. Договорные обязательства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Так как российское налоговое законодательство не содержит четкого руководства по некоторым вопросам, Компания время от времени применяет такие интерпретации законодательства, которые приводят к снижению общей суммы налогов по Компании. Руководство в настоящее время считает, что существует вероятность того, что налоговые позиции и интерпретации Компании могут быть подтверждены, однако существует риск того, что потребуется отток ресурсов, в том случае если эти налоговые позиции и интерпретации законодательства будут оспорены соответствующими органами. Воздействие любых таких спорных ситуаций не может быть оценено с достаточной степенью надежности, однако оно может быть существенным для финансового положения и/или деятельности Компании в целом.</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Вопросы охраны окружающей среды</w:t>
      </w:r>
      <w:r w:rsidRPr="0073427F">
        <w:rPr>
          <w:rFonts w:ascii="Tahoma" w:eastAsia="Times New Roman" w:hAnsi="Tahoma" w:cs="Tahoma"/>
          <w:color w:val="000000"/>
          <w:sz w:val="18"/>
          <w:szCs w:val="18"/>
          <w:lang w:eastAsia="ru-RU" w:bidi="ru-RU"/>
        </w:rPr>
        <w:t xml:space="preserve"> В настоящее время в России ужесточается природоохранное законодательство и продолжается пересмотр позиции государственных органов Российской Федерации относительно обеспечения его соблюдения. Компания проводит периодическую оценку своих обязательств, связанных с охраной окружающей среды. По мере выявления обязательств они незамедлительно отражаются в отчетности. Потенциальные обязательства, которые могут возникнуть в результате изменения существующего законодательства и нормативных актов, а также в результате судебной практики, не могут быть оценены с достаточной степенью надежности, хотя и могут оказаться значительными. Руководство считает, что в условиях существующей системы </w:t>
      </w:r>
      <w:proofErr w:type="gramStart"/>
      <w:r w:rsidRPr="0073427F">
        <w:rPr>
          <w:rFonts w:ascii="Tahoma" w:eastAsia="Times New Roman" w:hAnsi="Tahoma" w:cs="Tahoma"/>
          <w:color w:val="000000"/>
          <w:sz w:val="18"/>
          <w:szCs w:val="18"/>
          <w:lang w:eastAsia="ru-RU" w:bidi="ru-RU"/>
        </w:rPr>
        <w:t>контроля за</w:t>
      </w:r>
      <w:proofErr w:type="gramEnd"/>
      <w:r w:rsidRPr="0073427F">
        <w:rPr>
          <w:rFonts w:ascii="Tahoma" w:eastAsia="Times New Roman" w:hAnsi="Tahoma" w:cs="Tahoma"/>
          <w:color w:val="000000"/>
          <w:sz w:val="18"/>
          <w:szCs w:val="18"/>
          <w:lang w:eastAsia="ru-RU" w:bidi="ru-RU"/>
        </w:rPr>
        <w:t xml:space="preserve"> соблюдением действующего природоохранного законодательства не имеется значительных обязательств, возникающих в связи с нанесением ущерба окружающей среде.</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Гарантии. </w:t>
      </w:r>
      <w:r w:rsidRPr="0073427F">
        <w:rPr>
          <w:rFonts w:ascii="Tahoma" w:eastAsia="Times New Roman" w:hAnsi="Tahoma" w:cs="Tahoma"/>
          <w:color w:val="000000"/>
          <w:sz w:val="18"/>
          <w:szCs w:val="18"/>
          <w:lang w:eastAsia="ru-RU" w:bidi="ru-RU"/>
        </w:rPr>
        <w:t>Гарантии и прочие поручительства (включая акции, переданные в залог с целью обеспечения исполнения обязатель</w:t>
      </w:r>
      <w:proofErr w:type="gramStart"/>
      <w:r w:rsidRPr="0073427F">
        <w:rPr>
          <w:rFonts w:ascii="Tahoma" w:eastAsia="Times New Roman" w:hAnsi="Tahoma" w:cs="Tahoma"/>
          <w:color w:val="000000"/>
          <w:sz w:val="18"/>
          <w:szCs w:val="18"/>
          <w:lang w:eastAsia="ru-RU" w:bidi="ru-RU"/>
        </w:rPr>
        <w:t>ств тр</w:t>
      </w:r>
      <w:proofErr w:type="gramEnd"/>
      <w:r w:rsidRPr="0073427F">
        <w:rPr>
          <w:rFonts w:ascii="Tahoma" w:eastAsia="Times New Roman" w:hAnsi="Tahoma" w:cs="Tahoma"/>
          <w:color w:val="000000"/>
          <w:sz w:val="18"/>
          <w:szCs w:val="18"/>
          <w:lang w:eastAsia="ru-RU" w:bidi="ru-RU"/>
        </w:rPr>
        <w:t>етьих сторон и указанные ниже после акций, переданных в залог) представляют собой безотзывные обязательства Компании осуществлять платежи в случае невыполнения другой стороной своих обязательств. Компания предоставила гарантии в отношении следующих обязательств:</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2" w:type="dxa"/>
        <w:tblLayout w:type="fixed"/>
        <w:tblCellMar>
          <w:left w:w="42" w:type="dxa"/>
          <w:right w:w="42" w:type="dxa"/>
        </w:tblCellMar>
        <w:tblLook w:val="0000" w:firstRow="0" w:lastRow="0" w:firstColumn="0" w:lastColumn="0" w:noHBand="0" w:noVBand="0"/>
      </w:tblPr>
      <w:tblGrid>
        <w:gridCol w:w="3617"/>
        <w:gridCol w:w="2664"/>
        <w:gridCol w:w="2591"/>
      </w:tblGrid>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255" w:type="dxa"/>
            <w:gridSpan w:val="2"/>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31 декабря 2011 г.</w:t>
            </w:r>
          </w:p>
        </w:tc>
      </w:tr>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w:t>
            </w:r>
            <w:proofErr w:type="gramStart"/>
            <w:r w:rsidRPr="0073427F">
              <w:rPr>
                <w:rFonts w:ascii="Tahoma" w:eastAsia="Times New Roman" w:hAnsi="Tahoma" w:cs="Tahoma"/>
                <w:color w:val="000000"/>
                <w:sz w:val="18"/>
                <w:szCs w:val="18"/>
                <w:lang w:eastAsia="ru-RU" w:bidi="ru-RU"/>
              </w:rPr>
              <w:t>тысячах долларов</w:t>
            </w:r>
            <w:proofErr w:type="gramEnd"/>
            <w:r w:rsidRPr="0073427F">
              <w:rPr>
                <w:rFonts w:ascii="Tahoma" w:eastAsia="Times New Roman" w:hAnsi="Tahoma" w:cs="Tahoma"/>
                <w:color w:val="000000"/>
                <w:sz w:val="18"/>
                <w:szCs w:val="18"/>
                <w:lang w:eastAsia="ru-RU" w:bidi="ru-RU"/>
              </w:rPr>
              <w:t xml:space="preserve"> США)</w:t>
            </w:r>
          </w:p>
        </w:tc>
        <w:tc>
          <w:tcPr>
            <w:tcW w:w="266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Гарантированная сумма обязательств</w:t>
            </w:r>
          </w:p>
        </w:tc>
        <w:tc>
          <w:tcPr>
            <w:tcW w:w="259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Даты платежа по гарантированным обязательствам</w:t>
            </w:r>
          </w:p>
        </w:tc>
      </w:tr>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Properties Ltd</w:t>
            </w:r>
          </w:p>
        </w:tc>
        <w:tc>
          <w:tcPr>
            <w:tcW w:w="266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32 100</w:t>
            </w:r>
          </w:p>
        </w:tc>
        <w:tc>
          <w:tcPr>
            <w:tcW w:w="259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26 ноября 2012 г.</w:t>
            </w:r>
          </w:p>
        </w:tc>
      </w:tr>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O1 Properties Ltd</w:t>
            </w:r>
          </w:p>
        </w:tc>
        <w:tc>
          <w:tcPr>
            <w:tcW w:w="266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24 000</w:t>
            </w:r>
          </w:p>
        </w:tc>
        <w:tc>
          <w:tcPr>
            <w:tcW w:w="259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13 декабря 2012 г.</w:t>
            </w:r>
          </w:p>
        </w:tc>
      </w:tr>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66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59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3427F" w:rsidRPr="0073427F" w:rsidTr="0073427F">
        <w:tc>
          <w:tcPr>
            <w:tcW w:w="3617"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color w:val="000000"/>
                <w:sz w:val="18"/>
                <w:szCs w:val="18"/>
                <w:lang w:eastAsia="ru-RU" w:bidi="ru-RU"/>
              </w:rPr>
              <w:t>Итого гарантированные обязательства</w:t>
            </w:r>
          </w:p>
        </w:tc>
        <w:tc>
          <w:tcPr>
            <w:tcW w:w="266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56 100</w:t>
            </w:r>
          </w:p>
        </w:tc>
        <w:tc>
          <w:tcPr>
            <w:tcW w:w="2591"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Сроки вышеуказанных гарантий истекли. Они не привели к осуществлению платежей или возникновению обязательств Компании.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 xml:space="preserve">Активы в залоге и активы, ограниченные в использовании. </w:t>
      </w:r>
      <w:r w:rsidRPr="0073427F">
        <w:rPr>
          <w:rFonts w:ascii="Tahoma" w:eastAsia="Times New Roman" w:hAnsi="Tahoma" w:cs="Tahoma"/>
          <w:color w:val="000000"/>
          <w:sz w:val="18"/>
          <w:szCs w:val="18"/>
          <w:lang w:eastAsia="ru-RU" w:bidi="ru-RU"/>
        </w:rPr>
        <w:t>По состоянию на 31 декабря 2012 года и 31 декабря 2011 года все акции Компании были переданы в залог в связи с обязательствами непосредственного акционера. Информация о залоге акций дочерних предприятий Компании в качестве обеспечения раскрыта в Примечании 16.</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Производные инструменты. </w:t>
      </w:r>
      <w:r w:rsidRPr="0073427F">
        <w:rPr>
          <w:rFonts w:ascii="Tahoma" w:eastAsia="Times New Roman" w:hAnsi="Tahoma" w:cs="Tahoma"/>
          <w:color w:val="000000"/>
          <w:sz w:val="18"/>
          <w:szCs w:val="18"/>
          <w:lang w:eastAsia="ru-RU" w:bidi="ru-RU"/>
        </w:rPr>
        <w:t xml:space="preserve"> Процентные свопы имеют либо потенциально выгодные условия (и являются активами Группы), либо потенциально невыгодные условия (и являются обязательствами Группы) в результате колебания процентных ставок на рынке, валютообменных курсов или других переменных факторов, связанных с этими инструментами. Общая справедливая стоимость производных финансовых инструментов может существенно изменяться с течением времени.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31 декабря 2012 года Группа имела договоры на процентные свопы в общей сумме 425 000 тысяч долларов США (2011 г.: ноль), по которым Группа осуществляла выплаты по фиксированной ставке в обмен на плавающую ставку. По состоянию на 31 декабря 2012 года отрицательная справедливая стоимость этих контрактов составила 4 132 тысячи долларов США (2011 г.: ноль).</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b/>
          <w:i/>
          <w:color w:val="000000"/>
          <w:sz w:val="18"/>
          <w:szCs w:val="18"/>
          <w:lang w:eastAsia="ru-RU" w:bidi="ru-RU"/>
        </w:rPr>
        <w:br w:type="page"/>
      </w:r>
      <w:r w:rsidRPr="0073427F">
        <w:rPr>
          <w:rFonts w:ascii="Tahoma" w:eastAsia="Times New Roman" w:hAnsi="Tahoma" w:cs="Tahoma"/>
          <w:b/>
          <w:color w:val="000000"/>
          <w:sz w:val="18"/>
          <w:szCs w:val="18"/>
          <w:lang w:eastAsia="ru-RU" w:bidi="ru-RU"/>
        </w:rPr>
        <w:t>29. Договорные обязательства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i/>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r w:rsidRPr="0073427F">
        <w:rPr>
          <w:rFonts w:ascii="Tahoma" w:eastAsia="Times New Roman" w:hAnsi="Tahoma" w:cs="Tahoma"/>
          <w:b/>
          <w:i/>
          <w:color w:val="000000"/>
          <w:sz w:val="18"/>
          <w:szCs w:val="18"/>
          <w:lang w:eastAsia="ru-RU" w:bidi="ru-RU"/>
        </w:rPr>
        <w:t xml:space="preserve">Судебные разбирательства. </w:t>
      </w:r>
      <w:r w:rsidRPr="0073427F">
        <w:rPr>
          <w:rFonts w:ascii="Tahoma" w:eastAsia="Times New Roman" w:hAnsi="Tahoma" w:cs="Tahoma"/>
          <w:color w:val="000000"/>
          <w:sz w:val="18"/>
          <w:szCs w:val="18"/>
          <w:lang w:eastAsia="ru-RU" w:bidi="ru-RU"/>
        </w:rPr>
        <w:t xml:space="preserve">К Компании периодически, в ходе обычной деятельности, могут поступать исковые требования. Исходя из собственной оценки, а также консультаций внутренних профессиональных консультантов, руководство считает, что они не приведут к каким-либо существенным убыткам и, соответственно, резерв по данным разбирательствам в настоящей консолидированной финансовой отчетности не был создан.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План выплат, основанных на акциях.</w:t>
      </w:r>
      <w:r w:rsidRPr="0073427F">
        <w:rPr>
          <w:rFonts w:ascii="Tahoma" w:eastAsia="Times New Roman" w:hAnsi="Tahoma" w:cs="Tahoma"/>
          <w:color w:val="000000"/>
          <w:sz w:val="18"/>
          <w:szCs w:val="18"/>
          <w:lang w:eastAsia="ru-RU" w:bidi="ru-RU"/>
        </w:rPr>
        <w:t xml:space="preserve"> В 2011 году ряд директоров Компании получил право участия в плане выплат, основанных на акциях. В </w:t>
      </w:r>
      <w:proofErr w:type="gramStart"/>
      <w:r w:rsidRPr="0073427F">
        <w:rPr>
          <w:rFonts w:ascii="Tahoma" w:eastAsia="Times New Roman" w:hAnsi="Tahoma" w:cs="Tahoma"/>
          <w:color w:val="000000"/>
          <w:sz w:val="18"/>
          <w:szCs w:val="18"/>
          <w:lang w:eastAsia="ru-RU" w:bidi="ru-RU"/>
        </w:rPr>
        <w:t>соответствии</w:t>
      </w:r>
      <w:proofErr w:type="gramEnd"/>
      <w:r w:rsidRPr="0073427F">
        <w:rPr>
          <w:rFonts w:ascii="Tahoma" w:eastAsia="Times New Roman" w:hAnsi="Tahoma" w:cs="Tahoma"/>
          <w:color w:val="000000"/>
          <w:sz w:val="18"/>
          <w:szCs w:val="18"/>
          <w:lang w:eastAsia="ru-RU" w:bidi="ru-RU"/>
        </w:rPr>
        <w:t xml:space="preserve"> с этим планом на дату первичного публичного размещения и продажи акций Компании на фондовых биржах («IPO») этим директорам предоставляется некоторое число опционов, эквивалентных фиксированной сумме, основанной на цене акций Компании на дату IPO («Первоначальный опцион»). Если Компания готова к выходу на IPO, но Совет директоров Компании решает отложить IPO исключительно по причине неблагоприятных внешних условий, то директора получат количество опционов, эквивалентное фиксированной сумме, основанной на чистых активах Компании («Опцион до выхода на IPO»). </w:t>
      </w:r>
      <w:r w:rsidRPr="0073427F">
        <w:rPr>
          <w:rFonts w:ascii="Tahoma" w:eastAsia="Times New Roman" w:hAnsi="Tahoma" w:cs="Tahoma"/>
          <w:color w:val="000000"/>
          <w:sz w:val="18"/>
          <w:szCs w:val="18"/>
          <w:lang w:eastAsia="ru-RU" w:bidi="ru-RU"/>
        </w:rPr>
        <w:noBreakHyphen/>
        <w:t>Если предоставляется Опцион до выхода на IPO, то Первоначальный опцион не предоставляется. На последний день каждого календарного года после выхода на IPO и при условии достижения в соответствующем периоде всех целевых показателей по результатам деятельности, директорам предоставляются опционы в количестве, эквивалентном фиксированной сумме, основанной на рыночной цене акций на дату предоставления права участия в плане. На любую дату стоимость одного опциона равна стоимости одной акции.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Вступление в права на полученные опционы происходит равными частями четыре календарных года подряд после даты предоставления права и в его годовщину. Директор может реализовать право исполнения опциона, по которому он уже вступил в права, и потребовать, чтобы Компания выплатила ему эквивалентную сумму, равную разнице между рыночной стоимостью исполненных опционов на дату исполнения опциона и (2) рыночной стоимостью исполненных опционов на дату предоставления. Если на дату исполнения рыночная стоимость акций неизвестна, то стоимость опциона рассчитывается на основе чистых активов Компании в соответствии с последней имеющейся годовой финансовой отчетностью Компании.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Если директор увольняется с этой должности, (1) этому директору опционы более не предоставляются и (2) этот директор будет иметь право на исполнение опционов, которые были </w:t>
      </w:r>
      <w:proofErr w:type="gramStart"/>
      <w:r w:rsidRPr="0073427F">
        <w:rPr>
          <w:rFonts w:ascii="Tahoma" w:eastAsia="Times New Roman" w:hAnsi="Tahoma" w:cs="Tahoma"/>
          <w:color w:val="000000"/>
          <w:sz w:val="18"/>
          <w:szCs w:val="18"/>
          <w:lang w:eastAsia="ru-RU" w:bidi="ru-RU"/>
        </w:rPr>
        <w:t>ему</w:t>
      </w:r>
      <w:proofErr w:type="gramEnd"/>
      <w:r w:rsidRPr="0073427F">
        <w:rPr>
          <w:rFonts w:ascii="Tahoma" w:eastAsia="Times New Roman" w:hAnsi="Tahoma" w:cs="Tahoma"/>
          <w:color w:val="000000"/>
          <w:sz w:val="18"/>
          <w:szCs w:val="18"/>
          <w:lang w:eastAsia="ru-RU" w:bidi="ru-RU"/>
        </w:rPr>
        <w:t xml:space="preserve"> предоставлены и в права на которые он вступил до даты исполнения, только до 31 декабря года следующего за годом увольнения. Если увольнение директора является результатом его ненадлежащего поведения, опционы, которые были </w:t>
      </w:r>
      <w:proofErr w:type="gramStart"/>
      <w:r w:rsidRPr="0073427F">
        <w:rPr>
          <w:rFonts w:ascii="Tahoma" w:eastAsia="Times New Roman" w:hAnsi="Tahoma" w:cs="Tahoma"/>
          <w:color w:val="000000"/>
          <w:sz w:val="18"/>
          <w:szCs w:val="18"/>
          <w:lang w:eastAsia="ru-RU" w:bidi="ru-RU"/>
        </w:rPr>
        <w:t>ему</w:t>
      </w:r>
      <w:proofErr w:type="gramEnd"/>
      <w:r w:rsidRPr="0073427F">
        <w:rPr>
          <w:rFonts w:ascii="Tahoma" w:eastAsia="Times New Roman" w:hAnsi="Tahoma" w:cs="Tahoma"/>
          <w:color w:val="000000"/>
          <w:sz w:val="18"/>
          <w:szCs w:val="18"/>
          <w:lang w:eastAsia="ru-RU" w:bidi="ru-RU"/>
        </w:rPr>
        <w:t xml:space="preserve"> предоставлены, но в права на которые он не вступил, незамедлительно аннулируются без выплаты какой-либо компенсации.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На 31 декабря 2012 года обязательства, относящиеся к вышеуказанному плану выплат, основанному на акциях, составляли приблизительно 22 тысячи долларов США (2011 г.: 11 тысяч долларов США) и были отражены в составе общих и административных расходов через прибыль или убыток (Примечание 8).</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b/>
          <w:i/>
          <w:color w:val="000000"/>
          <w:sz w:val="18"/>
          <w:szCs w:val="18"/>
          <w:lang w:eastAsia="ru-RU" w:bidi="ru-RU"/>
        </w:rPr>
        <w:t xml:space="preserve">Соблюдение особых условий. </w:t>
      </w:r>
      <w:r w:rsidRPr="0073427F">
        <w:rPr>
          <w:rFonts w:ascii="Tahoma" w:eastAsia="Times New Roman" w:hAnsi="Tahoma" w:cs="Tahoma"/>
          <w:color w:val="000000"/>
          <w:sz w:val="18"/>
          <w:szCs w:val="18"/>
          <w:lang w:eastAsia="ru-RU" w:bidi="ru-RU"/>
        </w:rPr>
        <w:t xml:space="preserve"> Компания должна соблюдать определенные особые условия, в основном, связанные с заемными средствами. </w:t>
      </w:r>
      <w:proofErr w:type="gramStart"/>
      <w:r w:rsidRPr="0073427F">
        <w:rPr>
          <w:rFonts w:ascii="Tahoma" w:eastAsia="Times New Roman" w:hAnsi="Tahoma" w:cs="Tahoma"/>
          <w:color w:val="000000"/>
          <w:sz w:val="18"/>
          <w:szCs w:val="18"/>
          <w:lang w:eastAsia="ru-RU" w:bidi="ru-RU"/>
        </w:rPr>
        <w:noBreakHyphen/>
        <w:t>Н</w:t>
      </w:r>
      <w:proofErr w:type="gramEnd"/>
      <w:r w:rsidRPr="0073427F">
        <w:rPr>
          <w:rFonts w:ascii="Tahoma" w:eastAsia="Times New Roman" w:hAnsi="Tahoma" w:cs="Tahoma"/>
          <w:color w:val="000000"/>
          <w:sz w:val="18"/>
          <w:szCs w:val="18"/>
          <w:lang w:eastAsia="ru-RU" w:bidi="ru-RU"/>
        </w:rPr>
        <w:t>есоблюдение этих особых условий может иметь негативные последствия для Компании, включающие рост стоимости заемных средств и объявление дефолта. См.  Примечание 24.</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3427F">
        <w:rPr>
          <w:rFonts w:ascii="Tahoma" w:eastAsia="Times New Roman" w:hAnsi="Tahoma" w:cs="Tahoma"/>
          <w:b/>
          <w:bCs/>
          <w:color w:val="000000"/>
          <w:sz w:val="18"/>
          <w:szCs w:val="18"/>
          <w:lang w:eastAsia="ru-RU" w:bidi="ru-RU"/>
        </w:rPr>
        <w:t xml:space="preserve">30. Существенные события после окончания отчетного периода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течение последних нескольких лет международный финансовый кризис и нестабильность финансовых рынков негативно повлияли на экономику Кипра. По итогам переговоров между Республикой Кипр и Европейской комиссией, Европейским центральным банком и Международным валютным фондом («тройкой» кредиторов) по вопросам оказания финансовой поддержки, Еврогруппа 25 марта 2013 года согласовала с правительством Кипра предоставление Кипру финансовой помощи при условии реализации пакета необходимых мер. </w:t>
      </w:r>
      <w:proofErr w:type="gramStart"/>
      <w:r w:rsidRPr="0073427F">
        <w:rPr>
          <w:rFonts w:ascii="Tahoma" w:eastAsia="Times New Roman" w:hAnsi="Tahoma" w:cs="Tahoma"/>
          <w:color w:val="000000"/>
          <w:sz w:val="18"/>
          <w:szCs w:val="18"/>
          <w:lang w:eastAsia="ru-RU" w:bidi="ru-RU"/>
        </w:rPr>
        <w:t>Исходя из данного соглашения решение Еврогруппы в отношении Кипра включает</w:t>
      </w:r>
      <w:proofErr w:type="gramEnd"/>
      <w:r w:rsidRPr="0073427F">
        <w:rPr>
          <w:rFonts w:ascii="Tahoma" w:eastAsia="Times New Roman" w:hAnsi="Tahoma" w:cs="Tahoma"/>
          <w:color w:val="000000"/>
          <w:sz w:val="18"/>
          <w:szCs w:val="18"/>
          <w:lang w:eastAsia="ru-RU" w:bidi="ru-RU"/>
        </w:rPr>
        <w:t xml:space="preserve"> планы по реструктуризации финансового сектора и обеспечивает сохранность депозитов до 100 000 евро в соответствии с законодательством Европейского союза. В частности, незастрахованные вкладчики банка Laiki имеют право на получение 18% капитала Банка Кипра. Руководство данным процессом осуществляет </w:t>
      </w:r>
      <w:proofErr w:type="gramStart"/>
      <w:r w:rsidRPr="0073427F">
        <w:rPr>
          <w:rFonts w:ascii="Tahoma" w:eastAsia="Times New Roman" w:hAnsi="Tahoma" w:cs="Tahoma"/>
          <w:color w:val="000000"/>
          <w:sz w:val="18"/>
          <w:szCs w:val="18"/>
          <w:lang w:eastAsia="ru-RU" w:bidi="ru-RU"/>
        </w:rPr>
        <w:t>ликвидатор</w:t>
      </w:r>
      <w:proofErr w:type="gramEnd"/>
      <w:r w:rsidRPr="0073427F">
        <w:rPr>
          <w:rFonts w:ascii="Tahoma" w:eastAsia="Times New Roman" w:hAnsi="Tahoma" w:cs="Tahoma"/>
          <w:color w:val="000000"/>
          <w:sz w:val="18"/>
          <w:szCs w:val="18"/>
          <w:lang w:eastAsia="ru-RU" w:bidi="ru-RU"/>
        </w:rPr>
        <w:t xml:space="preserve"> и поступления будут распределены между незастрахованными вкладчиками. По состоянию на 26 марта 2013 года незастрахованные вкладчики Банка Кипра получили в целом 81% новых акций банка Кипра посредством конвертации 47,5% их депозитов (на сумму свыше 100 000 евро). Держатели долевых и мезонинных инструментов получили приблизительно 1% новых долевых инструментов Банка Кипра.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Layout w:type="fixed"/>
        <w:tblCellMar>
          <w:left w:w="0" w:type="dxa"/>
          <w:right w:w="45" w:type="dxa"/>
        </w:tblCellMar>
        <w:tblLook w:val="0000" w:firstRow="0" w:lastRow="0" w:firstColumn="0" w:lastColumn="0" w:noHBand="0" w:noVBand="0"/>
      </w:tblPr>
      <w:tblGrid>
        <w:gridCol w:w="9354"/>
      </w:tblGrid>
      <w:tr w:rsidR="0073427F" w:rsidRPr="0073427F" w:rsidTr="0073427F">
        <w:tc>
          <w:tcPr>
            <w:tcW w:w="93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3427F">
              <w:rPr>
                <w:rFonts w:ascii="Tahoma" w:eastAsia="Times New Roman" w:hAnsi="Tahoma" w:cs="Tahoma"/>
                <w:b/>
                <w:color w:val="000000"/>
                <w:sz w:val="18"/>
                <w:szCs w:val="18"/>
                <w:lang w:eastAsia="ru-RU" w:bidi="ru-RU"/>
              </w:rPr>
              <w:t>30. Существенные события после окончания отчетного периода (продолжение)</w:t>
            </w: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По состоянию на конец марта 2013 года остатки денежных средств Компании в Банке Кипра составили 2 256 тысяч евро. </w:t>
            </w:r>
            <w:proofErr w:type="gramStart"/>
            <w:r w:rsidRPr="0073427F">
              <w:rPr>
                <w:rFonts w:ascii="Tahoma" w:eastAsia="Times New Roman" w:hAnsi="Tahoma" w:cs="Tahoma"/>
                <w:color w:val="000000"/>
                <w:sz w:val="18"/>
                <w:szCs w:val="18"/>
                <w:lang w:eastAsia="ru-RU" w:bidi="ru-RU"/>
              </w:rPr>
              <w:t>Сумма в размере 1 024 тысячи евро, представляющая собой 47,5% незастрахованных депозитов, конвертирована в акции Банка Кипр номинальной стоимостью 1 евро за акцию. 42,5% незастрахованных средств были конвертированы в срочные депозиты на срок от 6 до 12 месяцев, при этом сумма возврата составляет 10%.  Процентная ставка по данным депозитам будет выше соответствующих рыночных ставок, предлагаемых Банком Кипра.</w:t>
            </w:r>
            <w:proofErr w:type="gramEnd"/>
            <w:r w:rsidRPr="0073427F">
              <w:rPr>
                <w:rFonts w:ascii="Tahoma" w:eastAsia="Times New Roman" w:hAnsi="Tahoma" w:cs="Tahoma"/>
                <w:color w:val="000000"/>
                <w:sz w:val="18"/>
                <w:szCs w:val="18"/>
                <w:lang w:eastAsia="ru-RU" w:bidi="ru-RU"/>
              </w:rPr>
              <w:t xml:space="preserve"> На данный момент эти инструменты не приняты к обращению на фондовой бирже. Информация о справедливой стоимости данных инструментов до сих пор отсутствует, и выполнить ее расчет сложно из-за отсутствия публичной информации и активного рынка. По предварительной оценке руководства, величина обесценения депозитов и долевых инструментов Компании, размещенных в Банке Кипра по состоянию на 26 марта 2013 года, составляет приблизительно 658 500 долларов США.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С 1 января 2013 года ставка налога на прибыль предприятий была повышена с 10% до 12,5%. </w:t>
            </w:r>
          </w:p>
        </w:tc>
      </w:tr>
      <w:tr w:rsidR="0073427F" w:rsidRPr="0073427F" w:rsidTr="0073427F">
        <w:tc>
          <w:tcPr>
            <w:tcW w:w="93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Сложившаяся на сегодняшний день экономическая ситуация на Кипре, а также перспективы ее развития могут негативно повлиять на ряд операций Компании. Руководство Компании постоянно следит за развитием ситуации, чтобы в полной мере оценить, как перечисленные меры могут повлиять на деятельность Компании.</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29 марта 2013 г. O1 Group Limited, материнская компания Компании, передала свою прямую долю участия в Компании своей дочерней компании Centimila Services Limited (Кипр). </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9 июня 2013 года компания Nori Holdings Limited оформила подписку на 20 200 погашаемых привилегированных акций номинальной стоимостью 0,01 доллар США, выпущенных с премией 9 999,99 за акцию. Акции были выпущены в качестве возмещения за передачу компанией Nori Holdings Limited 100% акций в капитале White Estates Investments Limited.</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28 июня 2013 года акционеры единогласно приняли решение о реструктуризации акций компании, и обыкновенные акции были конвертированы в обыкновенные акции класса «В», а погашаемые привилегированные акции были конвертированы в обыкновенные акции класса «А». В тот же день был произведен выпуск 20 381 490 дополнительных обыкновенных акций класса «А» в пользу Nori Holdings Limited. На дату подписания данной финансовой отчетности основными акционерам Компании являются компания Nori Holding Limited (100% обыкновенных акций класса «A»), компания Centimila Services Limited (54,4% обыкновенных акций класса B) и компания Coniston Limited (44,82% обыкновенных акций класса «B»).</w:t>
            </w:r>
          </w:p>
        </w:tc>
      </w:tr>
      <w:tr w:rsidR="0073427F" w:rsidRPr="0073427F" w:rsidTr="0073427F">
        <w:tc>
          <w:tcPr>
            <w:tcW w:w="9354" w:type="dxa"/>
            <w:tcBorders>
              <w:top w:val="nil"/>
              <w:left w:val="nil"/>
              <w:bottom w:val="nil"/>
              <w:right w:val="nil"/>
            </w:tcBorders>
          </w:tcPr>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 xml:space="preserve">В </w:t>
            </w:r>
            <w:proofErr w:type="gramStart"/>
            <w:r w:rsidRPr="0073427F">
              <w:rPr>
                <w:rFonts w:ascii="Tahoma" w:eastAsia="Times New Roman" w:hAnsi="Tahoma" w:cs="Tahoma"/>
                <w:color w:val="000000"/>
                <w:sz w:val="18"/>
                <w:szCs w:val="18"/>
                <w:lang w:eastAsia="ru-RU" w:bidi="ru-RU"/>
              </w:rPr>
              <w:t>апреле</w:t>
            </w:r>
            <w:proofErr w:type="gramEnd"/>
            <w:r w:rsidRPr="0073427F">
              <w:rPr>
                <w:rFonts w:ascii="Tahoma" w:eastAsia="Times New Roman" w:hAnsi="Tahoma" w:cs="Tahoma"/>
                <w:color w:val="000000"/>
                <w:sz w:val="18"/>
                <w:szCs w:val="18"/>
                <w:lang w:eastAsia="ru-RU" w:bidi="ru-RU"/>
              </w:rPr>
              <w:t xml:space="preserve"> 2013 года компания, контролируемая Основным владельцем, зарегистрировала проспект выпуска облигаций под гарантию Компании с номинальной стоимостью 6 миллиардов рублей. 6 августа 2013 года книга заявок на выпуск облигаций на сумму 6 миллиардов рублей с погашением через 5 лет была закрыта. Облигации имеют опцион на продажу через три года и ставку 12%. Расчеты по выпуску облигаций были проведены на ММВБ 8 августа 2013 года.</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bl>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color w:val="000000"/>
          <w:sz w:val="18"/>
          <w:szCs w:val="18"/>
          <w:lang w:eastAsia="ru-RU" w:bidi="ru-RU"/>
        </w:rPr>
        <w:t>Прочих существенных событий, произошедших после окончания отчетного периода, которые могли бы повлиять на понимание данной финансовой отчетности, не было.</w:t>
      </w: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3427F" w:rsidRPr="0073427F" w:rsidRDefault="0073427F" w:rsidP="0073427F">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3427F">
        <w:rPr>
          <w:rFonts w:ascii="Tahoma" w:eastAsia="Times New Roman" w:hAnsi="Tahoma" w:cs="Tahoma"/>
          <w:b/>
          <w:color w:val="000000"/>
          <w:sz w:val="18"/>
          <w:szCs w:val="18"/>
          <w:lang w:eastAsia="ru-RU" w:bidi="ru-RU"/>
        </w:rPr>
        <w:t>Аудиторское заключение представлено на страницах 4 и 5</w:t>
      </w:r>
    </w:p>
    <w:p w:rsidR="00743CE5" w:rsidRPr="008D55DE" w:rsidRDefault="00743CE5" w:rsidP="00BE0092">
      <w:pPr>
        <w:autoSpaceDE w:val="0"/>
        <w:autoSpaceDN w:val="0"/>
        <w:spacing w:after="0" w:line="240" w:lineRule="auto"/>
        <w:jc w:val="center"/>
        <w:rPr>
          <w:rFonts w:ascii="Times New Roman" w:eastAsia="Times New Roman" w:hAnsi="Times New Roman" w:cs="Arial"/>
          <w:b/>
          <w:bCs/>
          <w:kern w:val="32"/>
          <w:sz w:val="24"/>
          <w:szCs w:val="24"/>
          <w:lang w:eastAsia="ru-RU"/>
        </w:rPr>
      </w:pPr>
    </w:p>
    <w:p w:rsidR="00186966" w:rsidRPr="008D55DE" w:rsidRDefault="00186966" w:rsidP="00BE0092">
      <w:pPr>
        <w:autoSpaceDE w:val="0"/>
        <w:autoSpaceDN w:val="0"/>
        <w:spacing w:after="0" w:line="240" w:lineRule="auto"/>
        <w:jc w:val="center"/>
        <w:rPr>
          <w:rFonts w:ascii="Times New Roman" w:eastAsia="Times New Roman" w:hAnsi="Times New Roman" w:cs="Arial"/>
          <w:b/>
          <w:bCs/>
          <w:kern w:val="32"/>
          <w:sz w:val="24"/>
          <w:szCs w:val="24"/>
          <w:lang w:eastAsia="ru-RU"/>
        </w:rPr>
        <w:sectPr w:rsidR="00186966" w:rsidRPr="008D55DE" w:rsidSect="00CB150F">
          <w:headerReference w:type="default" r:id="rId60"/>
          <w:pgSz w:w="11906" w:h="16838"/>
          <w:pgMar w:top="1021" w:right="850" w:bottom="1021" w:left="1418" w:header="708" w:footer="708" w:gutter="0"/>
          <w:cols w:space="708"/>
          <w:docGrid w:linePitch="360"/>
        </w:sectPr>
      </w:pPr>
    </w:p>
    <w:p w:rsidR="00186966" w:rsidRPr="008D55DE" w:rsidRDefault="00186966" w:rsidP="00BE0092">
      <w:pPr>
        <w:autoSpaceDE w:val="0"/>
        <w:autoSpaceDN w:val="0"/>
        <w:spacing w:after="0" w:line="240" w:lineRule="auto"/>
        <w:jc w:val="center"/>
        <w:rPr>
          <w:rFonts w:ascii="Times New Roman" w:eastAsia="Times New Roman" w:hAnsi="Times New Roman" w:cs="Arial"/>
          <w:b/>
          <w:bCs/>
          <w:kern w:val="32"/>
          <w:sz w:val="24"/>
          <w:szCs w:val="24"/>
          <w:lang w:eastAsia="ru-RU"/>
        </w:rPr>
        <w:sectPr w:rsidR="00186966" w:rsidRPr="008D55DE" w:rsidSect="00186966">
          <w:type w:val="continuous"/>
          <w:pgSz w:w="11906" w:h="16838"/>
          <w:pgMar w:top="1021" w:right="850" w:bottom="1021" w:left="1418" w:header="708" w:footer="708" w:gutter="0"/>
          <w:cols w:space="708"/>
          <w:docGrid w:linePitch="360"/>
        </w:sectPr>
      </w:pPr>
    </w:p>
    <w:tbl>
      <w:tblPr>
        <w:tblW w:w="0" w:type="auto"/>
        <w:tblInd w:w="39" w:type="dxa"/>
        <w:tblLayout w:type="fixed"/>
        <w:tblCellMar>
          <w:left w:w="39" w:type="dxa"/>
          <w:right w:w="39" w:type="dxa"/>
        </w:tblCellMar>
        <w:tblLook w:val="0000" w:firstRow="0" w:lastRow="0" w:firstColumn="0" w:lastColumn="0" w:noHBand="0" w:noVBand="0"/>
      </w:tblPr>
      <w:tblGrid>
        <w:gridCol w:w="1670"/>
        <w:gridCol w:w="230"/>
        <w:gridCol w:w="5559"/>
      </w:tblGrid>
      <w:tr w:rsidR="00743CE5" w:rsidRPr="00743CE5" w:rsidTr="00743CE5">
        <w:tc>
          <w:tcPr>
            <w:tcW w:w="1670"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Pr>
                <w:rFonts w:ascii="Times New Roman" w:eastAsia="Times New Roman" w:hAnsi="Times New Roman" w:cs="Arial"/>
                <w:b/>
                <w:bCs/>
                <w:kern w:val="32"/>
                <w:sz w:val="24"/>
                <w:szCs w:val="24"/>
                <w:lang w:eastAsia="ru-RU"/>
              </w:rPr>
              <w:br w:type="page"/>
            </w:r>
          </w:p>
        </w:tc>
        <w:tc>
          <w:tcPr>
            <w:tcW w:w="230"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559"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8"/>
                <w:szCs w:val="28"/>
                <w:lang w:eastAsia="ru-RU" w:bidi="ru-RU"/>
              </w:rPr>
            </w:pPr>
            <w:r w:rsidRPr="00743CE5">
              <w:rPr>
                <w:rFonts w:ascii="Tahoma" w:eastAsia="Times New Roman" w:hAnsi="Tahoma" w:cs="Tahoma"/>
                <w:b/>
                <w:bCs/>
                <w:color w:val="000000"/>
                <w:sz w:val="28"/>
                <w:szCs w:val="28"/>
                <w:lang w:eastAsia="ru-RU" w:bidi="ru-RU"/>
              </w:rPr>
              <w:t>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ОТДЕЛЬНАЯ ФИНАНСОВАЯ ОТЧЕТНОСТЬ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 xml:space="preserve">В </w:t>
            </w:r>
            <w:proofErr w:type="gramStart"/>
            <w:r w:rsidRPr="00743CE5">
              <w:rPr>
                <w:rFonts w:ascii="Tahoma" w:eastAsia="Times New Roman" w:hAnsi="Tahoma" w:cs="Tahoma"/>
                <w:color w:val="000000"/>
                <w:sz w:val="24"/>
                <w:szCs w:val="24"/>
                <w:lang w:eastAsia="ru-RU" w:bidi="ru-RU"/>
              </w:rPr>
              <w:t>ДОЛЛАРАХ</w:t>
            </w:r>
            <w:proofErr w:type="gramEnd"/>
            <w:r w:rsidRPr="00743CE5">
              <w:rPr>
                <w:rFonts w:ascii="Tahoma" w:eastAsia="Times New Roman" w:hAnsi="Tahoma" w:cs="Tahoma"/>
                <w:color w:val="000000"/>
                <w:sz w:val="24"/>
                <w:szCs w:val="24"/>
                <w:lang w:eastAsia="ru-RU" w:bidi="ru-RU"/>
              </w:rPr>
              <w:t xml:space="preserve"> США</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sectPr w:rsidR="00743CE5" w:rsidRPr="00743CE5" w:rsidSect="00CB150F">
          <w:headerReference w:type="default" r:id="rId61"/>
          <w:type w:val="continuous"/>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ОТДЕЛЬНАЯ ФИНАНСОВАЯ ОТЧЕТНОСТЬ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7358"/>
        <w:gridCol w:w="1411"/>
      </w:tblGrid>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r w:rsidRPr="00743CE5">
              <w:rPr>
                <w:rFonts w:ascii="Tahoma" w:eastAsia="Times New Roman" w:hAnsi="Tahoma" w:cs="Tahoma"/>
                <w:b/>
                <w:bCs/>
                <w:color w:val="000000"/>
                <w:sz w:val="24"/>
                <w:szCs w:val="24"/>
                <w:lang w:eastAsia="ru-RU" w:bidi="ru-RU"/>
              </w:rPr>
              <w:t>СОДЕРЖАНИЕ</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24"/>
                <w:lang w:eastAsia="ru-RU" w:bidi="ru-RU"/>
              </w:rPr>
              <w:t>Стр.</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Совет директоров и другие должностные лица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1</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Совета директоров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2 – 3</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независимого аудитора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4 – 5</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совокупном доходе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6</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финансовом положении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7</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об изменении капитала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8</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движении денежных средств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9 - 10</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Примечания к финансовой отчетности </w:t>
            </w:r>
          </w:p>
        </w:tc>
        <w:tc>
          <w:tcPr>
            <w:tcW w:w="1411"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11 - 47</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62"/>
          <w:footerReference w:type="default" r:id="rId63"/>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СОВЕТ ДИРЕКТОРОВ И ДРУГИЕ ДОЛЖНОСТНЫЕ ЛИЦА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Совет директоров:</w:t>
      </w:r>
      <w:r w:rsidRPr="00743CE5">
        <w:rPr>
          <w:rFonts w:ascii="Tahoma" w:eastAsia="Times New Roman" w:hAnsi="Tahoma" w:cs="Tahoma"/>
          <w:b/>
          <w:color w:val="000000"/>
          <w:sz w:val="18"/>
          <w:szCs w:val="24"/>
          <w:lang w:eastAsia="ru-RU" w:bidi="ru-RU"/>
        </w:rPr>
        <w:tab/>
      </w:r>
      <w:r w:rsidRPr="00743CE5">
        <w:rPr>
          <w:rFonts w:ascii="Tahoma" w:eastAsia="Times New Roman" w:hAnsi="Tahoma" w:cs="Tahoma"/>
          <w:color w:val="000000"/>
          <w:sz w:val="18"/>
          <w:szCs w:val="18"/>
          <w:lang w:eastAsia="ru-RU" w:bidi="ru-RU"/>
        </w:rPr>
        <w:t>Дмитрий Минц</w:t>
      </w:r>
      <w:r w:rsidRPr="00743CE5">
        <w:rPr>
          <w:rFonts w:ascii="Tahoma" w:eastAsia="Times New Roman" w:hAnsi="Tahoma" w:cs="Tahoma"/>
          <w:color w:val="000000"/>
          <w:sz w:val="18"/>
          <w:szCs w:val="24"/>
          <w:lang w:eastAsia="ru-RU" w:bidi="ru-RU"/>
        </w:rPr>
        <w:t xml:space="preserve">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Томаш Замиара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Майкл Стэнтон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Александр Островский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Тимоти Фенуик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Ричард Грегсон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Джон Накос </w:t>
      </w:r>
    </w:p>
    <w:tbl>
      <w:tblPr>
        <w:tblW w:w="0" w:type="auto"/>
        <w:tblInd w:w="42" w:type="dxa"/>
        <w:tblLayout w:type="fixed"/>
        <w:tblCellMar>
          <w:left w:w="42" w:type="dxa"/>
          <w:right w:w="42" w:type="dxa"/>
        </w:tblCellMar>
        <w:tblLook w:val="0000" w:firstRow="0" w:lastRow="0" w:firstColumn="0" w:lastColumn="0" w:noHBand="0" w:noVBand="0"/>
      </w:tblPr>
      <w:tblGrid>
        <w:gridCol w:w="9360"/>
      </w:tblGrid>
      <w:tr w:rsidR="00743CE5" w:rsidRPr="00743CE5" w:rsidTr="00743CE5">
        <w:tc>
          <w:tcPr>
            <w:tcW w:w="9360" w:type="dxa"/>
            <w:tcBorders>
              <w:top w:val="nil"/>
              <w:left w:val="nil"/>
              <w:bottom w:val="nil"/>
              <w:right w:val="nil"/>
            </w:tcBorders>
          </w:tcPr>
          <w:p w:rsidR="00743CE5" w:rsidRPr="00743CE5" w:rsidRDefault="00743CE5" w:rsidP="00743CE5">
            <w:pPr>
              <w:widowControl w:val="0"/>
              <w:tabs>
                <w:tab w:val="left" w:pos="3923"/>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Константин Янаков (назначен 10 марта 2014 г.)</w:t>
            </w:r>
          </w:p>
        </w:tc>
      </w:tr>
    </w:tbl>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Секретарь Компании:</w:t>
      </w: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Panglobe Secretarial Limited </w:t>
      </w:r>
    </w:p>
    <w:p w:rsidR="00743CE5" w:rsidRPr="00743CE5" w:rsidRDefault="00743CE5" w:rsidP="00743CE5">
      <w:pPr>
        <w:widowControl w:val="0"/>
        <w:tabs>
          <w:tab w:val="left" w:pos="3685"/>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tbl>
      <w:tblPr>
        <w:tblW w:w="0" w:type="auto"/>
        <w:tblLayout w:type="fixed"/>
        <w:tblCellMar>
          <w:left w:w="0" w:type="dxa"/>
          <w:right w:w="39" w:type="dxa"/>
        </w:tblCellMar>
        <w:tblLook w:val="0000" w:firstRow="0" w:lastRow="0" w:firstColumn="0" w:lastColumn="0" w:noHBand="0" w:noVBand="0"/>
      </w:tblPr>
      <w:tblGrid>
        <w:gridCol w:w="3916"/>
        <w:gridCol w:w="4522"/>
      </w:tblGrid>
      <w:tr w:rsidR="00743CE5" w:rsidRPr="00743CE5" w:rsidTr="00743CE5">
        <w:tc>
          <w:tcPr>
            <w:tcW w:w="3916"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Адрес зарегистрированного офиса:</w:t>
            </w:r>
            <w:r w:rsidRPr="00743CE5">
              <w:rPr>
                <w:rFonts w:ascii="Tahoma" w:eastAsia="Times New Roman" w:hAnsi="Tahoma" w:cs="Tahoma"/>
                <w:color w:val="000000"/>
                <w:sz w:val="18"/>
                <w:szCs w:val="18"/>
                <w:lang w:eastAsia="ru-RU" w:bidi="ru-RU"/>
              </w:rPr>
              <w:t xml:space="preserve">  </w:t>
            </w:r>
          </w:p>
        </w:tc>
        <w:tc>
          <w:tcPr>
            <w:tcW w:w="4522"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 Spyrou Kyprianou</w:t>
            </w:r>
          </w:p>
        </w:tc>
      </w:tr>
      <w:tr w:rsidR="00743CE5" w:rsidRPr="00743CE5" w:rsidTr="00743CE5">
        <w:tc>
          <w:tcPr>
            <w:tcW w:w="3916"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2"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Office/flat 301</w:t>
            </w:r>
          </w:p>
        </w:tc>
      </w:tr>
      <w:tr w:rsidR="00743CE5" w:rsidRPr="00743CE5" w:rsidTr="00743CE5">
        <w:tc>
          <w:tcPr>
            <w:tcW w:w="3916"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2"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1075 Nicosia</w:t>
            </w:r>
          </w:p>
        </w:tc>
      </w:tr>
      <w:tr w:rsidR="00743CE5" w:rsidRPr="00743CE5" w:rsidTr="00743CE5">
        <w:tc>
          <w:tcPr>
            <w:tcW w:w="3916"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2"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Cyprus</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Регистрационный номер:</w:t>
      </w:r>
      <w:r w:rsidRPr="00743CE5">
        <w:rPr>
          <w:rFonts w:ascii="Tahoma" w:eastAsia="Times New Roman" w:hAnsi="Tahoma" w:cs="Tahoma"/>
          <w:color w:val="000000"/>
          <w:sz w:val="18"/>
          <w:szCs w:val="24"/>
          <w:lang w:eastAsia="ru-RU" w:bidi="ru-RU"/>
        </w:rPr>
        <w:t xml:space="preserve"> </w:t>
      </w: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HE 272334</w:t>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A154DE">
          <w:headerReference w:type="default" r:id="rId64"/>
          <w:footerReference w:type="default" r:id="rId65"/>
          <w:pgSz w:w="11952" w:h="16848"/>
          <w:pgMar w:top="1021" w:right="1190" w:bottom="1021" w:left="1418" w:header="720" w:footer="720" w:gutter="0"/>
          <w:pgNumType w:start="665"/>
          <w:cols w:space="720"/>
          <w:noEndnote/>
        </w:sect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Совет директоров O1 Properties Limited (или далее - «Компания») представляет свой отчет совместно с подтвержденной аудитором отдельной финансовой отчетностью Компании за год, закончившийся 31 декабря 2013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Изменение названия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43CE5">
        <w:rPr>
          <w:rFonts w:ascii="Tahoma" w:eastAsia="Times New Roman" w:hAnsi="Tahoma" w:cs="Tahoma"/>
          <w:color w:val="000000"/>
          <w:sz w:val="18"/>
          <w:szCs w:val="18"/>
          <w:lang w:eastAsia="ru-RU" w:bidi="ru-RU"/>
        </w:rPr>
        <w:t xml:space="preserve"> под названием 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2159"/>
          <w:tab w:val="left" w:pos="2879"/>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Основная деятельность</w:t>
      </w: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Основной деятельностью Компании, которая не изменилась по сравнению с прошлым годом,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составляющие инвестиции в дочерние предприятия, которые работают на рынке недвижимости Российской Федерации.</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Обзор развития и текущего положения Компании, описание основных рисков и факторов неопределенности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Развитие Компании на данный момент, ее финансовые результаты и положение на индивидуальной основе представлены в финансовой отчетности Компании. </w:t>
      </w:r>
      <w:proofErr w:type="gramStart"/>
      <w:r w:rsidRPr="00743CE5">
        <w:rPr>
          <w:rFonts w:ascii="Tahoma" w:eastAsia="Times New Roman" w:hAnsi="Tahoma" w:cs="Tahoma"/>
          <w:color w:val="000000"/>
          <w:sz w:val="18"/>
          <w:szCs w:val="18"/>
          <w:lang w:eastAsia="ru-RU" w:bidi="ru-RU"/>
        </w:rPr>
        <w:t>Убыток Компании за 2013 год, возникший в основном в результате расходов от переоценки по справедливой стоимости финансовых активов, оцениваемых по справедливой стоимости, изменения которой отражаются в составе прибыли или убытка, составил 121,916,169 долларов США (2012 г.: чистая прибыль, возникшая в основном в результате доходов от переоценки по справедливой стоимости финансовых активов, оцениваемых по справедливой стоимости, изменения которой отражаются в составе</w:t>
      </w:r>
      <w:proofErr w:type="gramEnd"/>
      <w:r w:rsidRPr="00743CE5">
        <w:rPr>
          <w:rFonts w:ascii="Tahoma" w:eastAsia="Times New Roman" w:hAnsi="Tahoma" w:cs="Tahoma"/>
          <w:color w:val="000000"/>
          <w:sz w:val="18"/>
          <w:szCs w:val="18"/>
          <w:lang w:eastAsia="ru-RU" w:bidi="ru-RU"/>
        </w:rPr>
        <w:t xml:space="preserve"> прибыли или убытка, составила 304,290,995 долларов США). Общая величина активов Компании составила 1,828,850,126 долларов США (2012 г.: 1,684,454,172 долларов США), чистые активы составили 1,570,867,736 долларов США (2012 г.: 1,313,008,195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Основные риски и факторы неопределенности, с которыми сталкивается Компания, а также действия, направленные на управление этими рисками, представлены в Примечаниях 3, 29 и 30 финансовой отчетности.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Результаты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Результаты деятельности Компании за год представлены на странице 7.  Чистый убыток за год переносится на будущий период.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Дивиденды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2013 году Совет директоров утвердил выплату дивидендов в размере 52,556 тысяч долларов США из нераспределенной прибыли (2012 г.: 3,950 тысяч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Акционерный капитал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Изменения в акционерном капитале Компании представлены в Примечании 24.</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Дивиденды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декабре</w:t>
      </w:r>
      <w:proofErr w:type="gramEnd"/>
      <w:r w:rsidRPr="00743CE5">
        <w:rPr>
          <w:rFonts w:ascii="Tahoma" w:eastAsia="Times New Roman" w:hAnsi="Tahoma" w:cs="Tahoma"/>
          <w:color w:val="000000"/>
          <w:sz w:val="18"/>
          <w:szCs w:val="18"/>
          <w:lang w:eastAsia="ru-RU" w:bidi="ru-RU"/>
        </w:rPr>
        <w:t xml:space="preserve"> 2012 года Совет директоров утвердил выплату дивидендов в размере 3 950 тысяч долларов США держателям привилегированных акций.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апреле 2013 года акционеры Компании утвердили выплату дивидендов в размере 5 631 тысяча долларов США держателям привилегированных акций. 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июне 2013 года акционеры Компании утвердили выплату дивидендов в размере 18 658 тысяч долларов США держателям обыкновенных акций. В </w:t>
      </w:r>
      <w:proofErr w:type="gramStart"/>
      <w:r w:rsidRPr="00743CE5">
        <w:rPr>
          <w:rFonts w:ascii="Tahoma" w:eastAsia="Times New Roman" w:hAnsi="Tahoma" w:cs="Tahoma"/>
          <w:color w:val="000000"/>
          <w:sz w:val="18"/>
          <w:szCs w:val="18"/>
          <w:lang w:eastAsia="ru-RU" w:bidi="ru-RU"/>
        </w:rPr>
        <w:t>сентябре</w:t>
      </w:r>
      <w:proofErr w:type="gramEnd"/>
      <w:r w:rsidRPr="00743CE5">
        <w:rPr>
          <w:rFonts w:ascii="Tahoma" w:eastAsia="Times New Roman" w:hAnsi="Tahoma" w:cs="Tahoma"/>
          <w:color w:val="000000"/>
          <w:sz w:val="18"/>
          <w:szCs w:val="18"/>
          <w:lang w:eastAsia="ru-RU" w:bidi="ru-RU"/>
        </w:rPr>
        <w:t xml:space="preserve"> 2013 года акционеры Компании утвердили выплату дивидендов в размере 26 207 тысяч долларов США держателям акций класса «A» и 2 064 тысячи долларов США владельцам акций класса «В».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proofErr w:type="gramEnd"/>
      <w:r w:rsidRPr="00743CE5">
        <w:rPr>
          <w:rFonts w:ascii="Tahoma" w:eastAsia="Times New Roman" w:hAnsi="Tahoma" w:cs="Tahoma"/>
          <w:color w:val="000000"/>
          <w:sz w:val="18"/>
          <w:szCs w:val="18"/>
          <w:lang w:eastAsia="ru-RU" w:bidi="ru-RU"/>
        </w:rPr>
        <w:t xml:space="preserve"> 2014 года акционеры Компании утвердили дивиденды в сумме 29 598 тысяч долларов США на акции класса «А» и дивиденды в сумме 33 915 тысяч долларов США на акции класса «В».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Совет директоров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Члены Совета директоров Компании на 31 декабря 2013 года и на дату данного отчета перечислены на странице 1. Все они являлись членами Совета директоров на протяжении 2013 года, за исключением Константина Янакова, который был назначен еще одним директором Компании 10 марта 2014 года.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соответствии</w:t>
      </w:r>
      <w:proofErr w:type="gramEnd"/>
      <w:r w:rsidRPr="00743CE5">
        <w:rPr>
          <w:rFonts w:ascii="Tahoma" w:eastAsia="Times New Roman" w:hAnsi="Tahoma" w:cs="Tahoma"/>
          <w:color w:val="000000"/>
          <w:sz w:val="18"/>
          <w:szCs w:val="18"/>
          <w:lang w:eastAsia="ru-RU" w:bidi="ru-RU"/>
        </w:rPr>
        <w:t xml:space="preserve"> с Уставом Компании все директора, являющиеся членами Совета директоров, продолжают выполнять свои обязанности.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Существенных изменений в распределении обязанностей и вознаграждении членов Совета директоров не произошло.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Существенные события после окончания отчетного периода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Существенные события, произошедшие после окончания отчетного периода, представлены в Примечании 31 финансовой отчетности.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Филиалы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года, закончившегося 31 декабря 2013 года, Компания не имела филиалов.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Независимые аудиторы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Независимые аудиторы, PricewaterhouseCoopers Limited, выразили желание продолжить выполнять обязанности аудитора. Решение, предоставляющее право Совету директоров назначить им вознаграждение, будет предложено на общем годовом собрании акционеров.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 поручению Совета директоров,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val="en-US" w:eastAsia="ru-RU" w:bidi="ru-RU"/>
        </w:rPr>
        <w:t>Panglobe</w:t>
      </w: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val="en-US" w:eastAsia="ru-RU" w:bidi="ru-RU"/>
        </w:rPr>
        <w:t>Secretarial</w:t>
      </w: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val="en-US" w:eastAsia="ru-RU" w:bidi="ru-RU"/>
        </w:rPr>
        <w:t>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Секретарь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 xml:space="preserve">___ </w:t>
      </w:r>
      <w:proofErr w:type="gramStart"/>
      <w:r w:rsidRPr="00743CE5">
        <w:rPr>
          <w:rFonts w:ascii="Tahoma" w:eastAsia="Times New Roman" w:hAnsi="Tahoma" w:cs="Tahoma"/>
          <w:color w:val="000000"/>
          <w:sz w:val="18"/>
          <w:szCs w:val="18"/>
          <w:lang w:eastAsia="ru-RU" w:bidi="ru-RU"/>
        </w:rPr>
        <w:t>ноября</w:t>
      </w:r>
      <w:proofErr w:type="gramEnd"/>
      <w:r w:rsidRPr="00743CE5">
        <w:rPr>
          <w:rFonts w:ascii="Tahoma" w:eastAsia="Times New Roman" w:hAnsi="Tahoma" w:cs="Tahoma"/>
          <w:color w:val="000000"/>
          <w:sz w:val="18"/>
          <w:szCs w:val="18"/>
          <w:lang w:val="en-US" w:eastAsia="ru-RU" w:bidi="ru-RU"/>
        </w:rPr>
        <w:t xml:space="preserve"> 2014 </w:t>
      </w:r>
      <w:r w:rsidRPr="00743CE5">
        <w:rPr>
          <w:rFonts w:ascii="Tahoma" w:eastAsia="Times New Roman" w:hAnsi="Tahoma" w:cs="Tahoma"/>
          <w:color w:val="000000"/>
          <w:sz w:val="18"/>
          <w:szCs w:val="18"/>
          <w:lang w:eastAsia="ru-RU" w:bidi="ru-RU"/>
        </w:rPr>
        <w:t>г</w:t>
      </w:r>
      <w:r w:rsidRPr="00743CE5">
        <w:rPr>
          <w:rFonts w:ascii="Tahoma" w:eastAsia="Times New Roman" w:hAnsi="Tahoma" w:cs="Tahoma"/>
          <w:color w:val="000000"/>
          <w:sz w:val="18"/>
          <w:szCs w:val="18"/>
          <w:lang w:val="en-US"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sectPr w:rsidR="00743CE5" w:rsidRPr="00743CE5" w:rsidSect="00CB150F">
          <w:headerReference w:type="default" r:id="rId66"/>
          <w:footerReference w:type="default" r:id="rId67"/>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Pr>
          <w:rFonts w:ascii="Tahoma" w:eastAsia="Times New Roman" w:hAnsi="Tahoma" w:cs="Tahoma"/>
          <w:noProof/>
          <w:color w:val="000000"/>
          <w:sz w:val="18"/>
          <w:szCs w:val="18"/>
          <w:lang w:eastAsia="ru-RU"/>
        </w:rPr>
        <w:drawing>
          <wp:anchor distT="0" distB="0" distL="114300" distR="114300" simplePos="0" relativeHeight="251659264" behindDoc="0" locked="1" layoutInCell="1" allowOverlap="1" wp14:anchorId="3F7ED513" wp14:editId="7FC122A6">
            <wp:simplePos x="0" y="0"/>
            <wp:positionH relativeFrom="page">
              <wp:posOffset>428625</wp:posOffset>
            </wp:positionH>
            <wp:positionV relativeFrom="page">
              <wp:posOffset>532765</wp:posOffset>
            </wp:positionV>
            <wp:extent cx="1410335" cy="1193165"/>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page_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0335" cy="1193165"/>
                    </a:xfrm>
                    <a:prstGeom prst="rect">
                      <a:avLst/>
                    </a:prstGeom>
                    <a:noFill/>
                  </pic:spPr>
                </pic:pic>
              </a:graphicData>
            </a:graphic>
            <wp14:sizeRelH relativeFrom="page">
              <wp14:pctWidth>0</wp14:pctWidth>
            </wp14:sizeRelH>
            <wp14:sizeRelV relativeFrom="page">
              <wp14:pctHeight>0</wp14:pctHeight>
            </wp14:sizeRelV>
          </wp:anchor>
        </w:drawing>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9360"/>
      </w:tblGrid>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Georgia" w:eastAsia="Times New Roman" w:hAnsi="Georgia" w:cs="Tahoma"/>
                <w:b/>
                <w:bCs/>
                <w:color w:val="000000"/>
                <w:sz w:val="28"/>
                <w:szCs w:val="28"/>
                <w:lang w:eastAsia="ru-RU" w:bidi="ru-RU"/>
              </w:rPr>
            </w:pPr>
            <w:r w:rsidRPr="00743CE5">
              <w:rPr>
                <w:rFonts w:ascii="Georgia" w:eastAsia="Times New Roman" w:hAnsi="Georgia" w:cs="Tahoma"/>
                <w:b/>
                <w:bCs/>
                <w:color w:val="000000"/>
                <w:sz w:val="28"/>
                <w:szCs w:val="28"/>
                <w:lang w:eastAsia="ru-RU" w:bidi="ru-RU"/>
              </w:rPr>
              <w:t>Аудиторское заключение</w:t>
            </w:r>
          </w:p>
        </w:tc>
      </w:tr>
    </w:tbl>
    <w:p w:rsidR="00743CE5" w:rsidRPr="00743CE5" w:rsidRDefault="00743CE5" w:rsidP="00743CE5">
      <w:pPr>
        <w:widowControl w:val="0"/>
        <w:autoSpaceDE w:val="0"/>
        <w:autoSpaceDN w:val="0"/>
        <w:adjustRightInd w:val="0"/>
        <w:spacing w:after="0" w:line="240" w:lineRule="auto"/>
        <w:ind w:right="2551"/>
        <w:rPr>
          <w:rFonts w:ascii="Georgia" w:eastAsia="Times New Roman" w:hAnsi="Georgia" w:cs="Tahoma"/>
          <w:b/>
          <w:bCs/>
          <w:color w:val="000000"/>
          <w:sz w:val="24"/>
          <w:szCs w:val="24"/>
          <w:lang w:eastAsia="ru-RU" w:bidi="ru-RU"/>
        </w:rPr>
      </w:pPr>
      <w:r w:rsidRPr="00743CE5">
        <w:rPr>
          <w:rFonts w:ascii="Georgia" w:eastAsia="Times New Roman" w:hAnsi="Georgia" w:cs="Tahoma"/>
          <w:b/>
          <w:color w:val="000000"/>
          <w:sz w:val="24"/>
          <w:szCs w:val="28"/>
          <w:lang w:eastAsia="ru-RU" w:bidi="ru-RU"/>
        </w:rPr>
        <w:t>Участникам O1 Properties Limited</w:t>
      </w:r>
    </w:p>
    <w:p w:rsidR="00743CE5" w:rsidRPr="00743CE5" w:rsidRDefault="00743CE5" w:rsidP="00743CE5">
      <w:pPr>
        <w:widowControl w:val="0"/>
        <w:autoSpaceDE w:val="0"/>
        <w:autoSpaceDN w:val="0"/>
        <w:adjustRightInd w:val="0"/>
        <w:spacing w:after="0" w:line="240" w:lineRule="auto"/>
        <w:rPr>
          <w:rFonts w:ascii="Georgia" w:eastAsia="Times New Roman" w:hAnsi="Georgi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Tahoma"/>
          <w:color w:val="000000"/>
          <w:sz w:val="18"/>
          <w:szCs w:val="18"/>
          <w:lang w:eastAsia="ru-RU" w:bidi="ru-RU"/>
        </w:rPr>
      </w:pPr>
      <w:r w:rsidRPr="00743CE5">
        <w:rPr>
          <w:rFonts w:ascii="Georgia" w:eastAsia="Times New Roman" w:hAnsi="Georgia" w:cs="Tahoma"/>
          <w:b/>
          <w:color w:val="000000"/>
          <w:sz w:val="18"/>
          <w:szCs w:val="18"/>
          <w:lang w:eastAsia="ru-RU" w:bidi="ru-RU"/>
        </w:rPr>
        <w:t>Заключение в отношении финансовой отчетности</w:t>
      </w:r>
    </w:p>
    <w:p w:rsidR="00743CE5" w:rsidRPr="00743CE5" w:rsidRDefault="00743CE5" w:rsidP="00743CE5">
      <w:pPr>
        <w:widowControl w:val="0"/>
        <w:autoSpaceDE w:val="0"/>
        <w:autoSpaceDN w:val="0"/>
        <w:adjustRightInd w:val="0"/>
        <w:spacing w:after="0" w:line="240" w:lineRule="auto"/>
        <w:rPr>
          <w:rFonts w:ascii="Georgia" w:eastAsia="Times New Roman" w:hAnsi="Georgi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roofErr w:type="gramStart"/>
      <w:r w:rsidRPr="00743CE5">
        <w:rPr>
          <w:rFonts w:ascii="Georgia" w:eastAsia="Times New Roman" w:hAnsi="Georgia" w:cs="Tahoma"/>
          <w:color w:val="000000"/>
          <w:sz w:val="20"/>
          <w:szCs w:val="18"/>
          <w:lang w:eastAsia="ru-RU" w:bidi="ru-RU"/>
        </w:rPr>
        <w:t>Мы провели аудит прилагаемой финансовой отчетности материнской компании O1 Properties Limited (далее – «Компания»), которая включает отчет о финансовом положении по состоянию на 31 декабря 2013 года и отчеты о совокупном доходе, об изменениях в капитале и о движении денежных средств за год, закончившийся на указанную дату, а также основные положения учетной политики и прочую пояснительную информацию.</w:t>
      </w:r>
      <w:proofErr w:type="gramEnd"/>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i/>
          <w:color w:val="000000"/>
          <w:sz w:val="20"/>
          <w:szCs w:val="20"/>
          <w:lang w:eastAsia="ru-RU" w:bidi="ru-RU"/>
        </w:rPr>
      </w:pPr>
      <w:r w:rsidRPr="00743CE5">
        <w:rPr>
          <w:rFonts w:ascii="Georgia" w:eastAsia="Times New Roman" w:hAnsi="Georgia" w:cs="Tahoma"/>
          <w:i/>
          <w:color w:val="000000"/>
          <w:sz w:val="20"/>
          <w:szCs w:val="18"/>
          <w:lang w:eastAsia="ru-RU" w:bidi="ru-RU"/>
        </w:rPr>
        <w:t>Ответственность Совета директоров за составление финансовой отчетности</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roofErr w:type="gramStart"/>
      <w:r w:rsidRPr="00743CE5">
        <w:rPr>
          <w:rFonts w:ascii="Georgia" w:eastAsia="Times New Roman" w:hAnsi="Georgia" w:cs="Tahoma"/>
          <w:color w:val="000000"/>
          <w:sz w:val="20"/>
          <w:szCs w:val="18"/>
          <w:lang w:eastAsia="ru-RU" w:bidi="ru-RU"/>
        </w:rPr>
        <w:t>Совет директоров несет ответственность за составление и достоверное и точное представление данной финансовой отчетности в соответствии с Международными стандартами финансовой отчетности, принятыми Европейским союзом (ЕС), а также в соответствии с Законом о компаниях Кипра, Раздел 113, а также за систему внутреннего контроля, которую Совет директоров считает необходимой для составления финансовой отчетности, не содержащей существенных искажений в результате недобросовестных действий или</w:t>
      </w:r>
      <w:proofErr w:type="gramEnd"/>
      <w:r w:rsidRPr="00743CE5">
        <w:rPr>
          <w:rFonts w:ascii="Georgia" w:eastAsia="Times New Roman" w:hAnsi="Georgia" w:cs="Tahoma"/>
          <w:color w:val="000000"/>
          <w:sz w:val="20"/>
          <w:szCs w:val="18"/>
          <w:lang w:eastAsia="ru-RU" w:bidi="ru-RU"/>
        </w:rPr>
        <w:t xml:space="preserve"> ошибок.</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i/>
          <w:color w:val="000000"/>
          <w:sz w:val="20"/>
          <w:szCs w:val="20"/>
          <w:lang w:eastAsia="ru-RU" w:bidi="ru-RU"/>
        </w:rPr>
      </w:pPr>
      <w:r w:rsidRPr="00743CE5">
        <w:rPr>
          <w:rFonts w:ascii="Georgia" w:eastAsia="Times New Roman" w:hAnsi="Georgia" w:cs="Tahoma"/>
          <w:i/>
          <w:color w:val="000000"/>
          <w:sz w:val="20"/>
          <w:szCs w:val="18"/>
          <w:lang w:eastAsia="ru-RU" w:bidi="ru-RU"/>
        </w:rPr>
        <w:t>Ответственность аудитора</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Наша ответственность заключается в выражении мнения о достоверности данной финансовой отчетности на основе проведенного нами аудита.  Мы провели аудит в соответствии с Международными стандартами аудита.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финансовая отчетность не содержит существенных искажений.</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 xml:space="preserve">Аудит включает проведение процедур, направленных на получение аудиторских доказательств, подтверждающих числовые показатели в финансовой отчетности и раскрытие в ней информации. Выбор процедур зависит от профессионального суждения аудитора, включая оценку рисков существенного искажения финансовой отчетности вследствие недобросовестных действий или ошибок. </w:t>
      </w:r>
      <w:proofErr w:type="gramStart"/>
      <w:r w:rsidRPr="00743CE5">
        <w:rPr>
          <w:rFonts w:ascii="Georgia" w:eastAsia="Times New Roman" w:hAnsi="Georgia" w:cs="Tahoma"/>
          <w:color w:val="000000"/>
          <w:sz w:val="20"/>
          <w:szCs w:val="18"/>
          <w:lang w:eastAsia="ru-RU" w:bidi="ru-RU"/>
        </w:rPr>
        <w:t>В процессе оценки вышеупомянутых рисков аудитор рассматривает систему внутреннего контроля, связанную с составлением и достоверным представлением финансовой отчетности компании с тем, чтобы разработать аудиторские процедуры, необходимые в данных обстоятельствах, но не с целью выражения мнения об эффективности системы внутреннего контроля компании.</w:t>
      </w:r>
      <w:proofErr w:type="gramEnd"/>
      <w:r w:rsidRPr="00743CE5">
        <w:rPr>
          <w:rFonts w:ascii="Georgia" w:eastAsia="Times New Roman" w:hAnsi="Georgia" w:cs="Tahoma"/>
          <w:color w:val="000000"/>
          <w:sz w:val="20"/>
          <w:szCs w:val="18"/>
          <w:lang w:eastAsia="ru-RU" w:bidi="ru-RU"/>
        </w:rPr>
        <w:t xml:space="preserve"> Аудит также включает оценку надлежащего характера применяемой учетной политики и обоснованности бухгалтерских оценок, сделанных Советом директоров, а также оценку представления финансовой отчетности в целом.</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Мы полагаем, что полученные нами аудиторские доказательства являются достаточными и надлежащими для выражения нашего о достоверности данной отчетности.</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i/>
          <w:color w:val="000000"/>
          <w:sz w:val="20"/>
          <w:szCs w:val="20"/>
          <w:lang w:eastAsia="ru-RU" w:bidi="ru-RU"/>
        </w:rPr>
      </w:pPr>
      <w:r w:rsidRPr="00743CE5">
        <w:rPr>
          <w:rFonts w:ascii="Georgia" w:eastAsia="Times New Roman" w:hAnsi="Georgia" w:cs="Tahoma"/>
          <w:i/>
          <w:color w:val="000000"/>
          <w:sz w:val="20"/>
          <w:szCs w:val="18"/>
          <w:lang w:eastAsia="ru-RU" w:bidi="ru-RU"/>
        </w:rPr>
        <w:t>Мнение</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jc w:val="both"/>
        <w:rPr>
          <w:rFonts w:ascii="Georgia" w:eastAsia="Times New Roman" w:hAnsi="Georgia" w:cs="Tahoma"/>
          <w:color w:val="000000"/>
          <w:sz w:val="20"/>
          <w:szCs w:val="18"/>
          <w:lang w:eastAsia="ru-RU" w:bidi="ru-RU"/>
        </w:rPr>
      </w:pPr>
      <w:proofErr w:type="gramStart"/>
      <w:r w:rsidRPr="00743CE5">
        <w:rPr>
          <w:rFonts w:ascii="Georgia" w:eastAsia="Times New Roman" w:hAnsi="Georgia" w:cs="Tahoma"/>
          <w:color w:val="000000"/>
          <w:sz w:val="20"/>
          <w:szCs w:val="18"/>
          <w:lang w:eastAsia="ru-RU" w:bidi="ru-RU"/>
        </w:rPr>
        <w:t xml:space="preserve">По нашему мнению, настоящая финансовая отчетность достоверно отражает финансовое положение материнской компании O1 Properties Limited по состоянию на 31 декабря 2013 года, а также ее финансовые результаты и движение денежных средств за год, закончившийся на указанную дату, в соответствии с Международными стандартами финансовой отчетности, принятыми Европейским Союзом, а также в соответствии с Законом о компаниях Кипра, Раздел 113. </w:t>
      </w:r>
      <w:proofErr w:type="gramEnd"/>
    </w:p>
    <w:p w:rsidR="00743CE5" w:rsidRPr="00743CE5" w:rsidRDefault="00743CE5" w:rsidP="00743CE5">
      <w:pPr>
        <w:widowControl w:val="0"/>
        <w:autoSpaceDE w:val="0"/>
        <w:autoSpaceDN w:val="0"/>
        <w:adjustRightInd w:val="0"/>
        <w:spacing w:after="0" w:line="240" w:lineRule="auto"/>
        <w:jc w:val="both"/>
        <w:rPr>
          <w:rFonts w:ascii="Georgia" w:eastAsia="Times New Roman" w:hAnsi="Georgia" w:cs="Tahoma"/>
          <w:color w:val="000000"/>
          <w:sz w:val="20"/>
          <w:szCs w:val="18"/>
          <w:lang w:eastAsia="ru-RU" w:bidi="ru-RU"/>
        </w:rPr>
      </w:pPr>
    </w:p>
    <w:p w:rsidR="00743CE5" w:rsidRPr="00743CE5" w:rsidRDefault="00743CE5" w:rsidP="00743CE5">
      <w:pPr>
        <w:keepLines/>
        <w:widowControl w:val="0"/>
        <w:autoSpaceDE w:val="0"/>
        <w:autoSpaceDN w:val="0"/>
        <w:adjustRightInd w:val="0"/>
        <w:spacing w:after="0" w:line="240" w:lineRule="auto"/>
        <w:rPr>
          <w:rFonts w:ascii="Georgia" w:eastAsia="Times New Roman" w:hAnsi="Georgia" w:cs="Arial"/>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r>
        <w:rPr>
          <w:rFonts w:ascii="Georgia" w:eastAsia="Times New Roman" w:hAnsi="Georgia" w:cs="Arial"/>
          <w:b/>
          <w:bCs/>
          <w:noProof/>
          <w:color w:val="000000"/>
          <w:sz w:val="20"/>
          <w:szCs w:val="20"/>
          <w:lang w:eastAsia="ru-RU"/>
        </w:rPr>
        <w:drawing>
          <wp:anchor distT="0" distB="0" distL="114300" distR="114300" simplePos="0" relativeHeight="251660288" behindDoc="0" locked="1" layoutInCell="1" allowOverlap="1" wp14:anchorId="2F5B37F6" wp14:editId="597EA35F">
            <wp:simplePos x="0" y="0"/>
            <wp:positionH relativeFrom="page">
              <wp:posOffset>789940</wp:posOffset>
            </wp:positionH>
            <wp:positionV relativeFrom="page">
              <wp:posOffset>678180</wp:posOffset>
            </wp:positionV>
            <wp:extent cx="1410335" cy="1193165"/>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0335" cy="1193165"/>
                    </a:xfrm>
                    <a:prstGeom prst="rect">
                      <a:avLst/>
                    </a:prstGeom>
                    <a:noFill/>
                  </pic:spPr>
                </pic:pic>
              </a:graphicData>
            </a:graphic>
            <wp14:sizeRelH relativeFrom="page">
              <wp14:pctWidth>0</wp14:pctWidth>
            </wp14:sizeRelH>
            <wp14:sizeRelV relativeFrom="page">
              <wp14:pctHeight>0</wp14:pctHeight>
            </wp14:sizeRelV>
          </wp:anchor>
        </w:drawing>
      </w: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r w:rsidRPr="00743CE5">
        <w:rPr>
          <w:rFonts w:ascii="Georgia" w:eastAsia="Times New Roman" w:hAnsi="Georgia" w:cs="Tahoma"/>
          <w:b/>
          <w:bCs/>
          <w:color w:val="000000"/>
          <w:sz w:val="20"/>
          <w:szCs w:val="24"/>
          <w:lang w:eastAsia="ru-RU" w:bidi="ru-RU"/>
        </w:rPr>
        <w:t>Отчет о соблюдении прочих требований законодательства</w:t>
      </w: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p>
    <w:p w:rsidR="00743CE5" w:rsidRPr="00743CE5" w:rsidRDefault="00743CE5" w:rsidP="00743CE5">
      <w:pPr>
        <w:keepNext/>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 xml:space="preserve">В </w:t>
      </w:r>
      <w:proofErr w:type="gramStart"/>
      <w:r w:rsidRPr="00743CE5">
        <w:rPr>
          <w:rFonts w:ascii="Georgia" w:eastAsia="Times New Roman" w:hAnsi="Georgia" w:cs="Tahoma"/>
          <w:color w:val="000000"/>
          <w:sz w:val="20"/>
          <w:szCs w:val="18"/>
          <w:lang w:eastAsia="ru-RU" w:bidi="ru-RU"/>
        </w:rPr>
        <w:t>соответствии</w:t>
      </w:r>
      <w:proofErr w:type="gramEnd"/>
      <w:r w:rsidRPr="00743CE5">
        <w:rPr>
          <w:rFonts w:ascii="Georgia" w:eastAsia="Times New Roman" w:hAnsi="Georgia" w:cs="Tahoma"/>
          <w:color w:val="000000"/>
          <w:sz w:val="20"/>
          <w:szCs w:val="18"/>
          <w:lang w:eastAsia="ru-RU" w:bidi="ru-RU"/>
        </w:rPr>
        <w:t xml:space="preserve"> с дополнительными требованиями Законов об аудиторах и аудите годовой и консолидированной отчетности 2009 и 2013 гг. мы сообщаем следующее:</w:t>
      </w:r>
    </w:p>
    <w:p w:rsidR="00743CE5" w:rsidRPr="00743CE5" w:rsidRDefault="00743CE5" w:rsidP="00743CE5">
      <w:pPr>
        <w:keepNext/>
        <w:keepLines/>
        <w:widowControl w:val="0"/>
        <w:numPr>
          <w:ilvl w:val="0"/>
          <w:numId w:val="8"/>
        </w:numPr>
        <w:autoSpaceDE w:val="0"/>
        <w:autoSpaceDN w:val="0"/>
        <w:adjustRightInd w:val="0"/>
        <w:spacing w:after="0" w:line="240" w:lineRule="auto"/>
        <w:ind w:left="357" w:hanging="357"/>
        <w:jc w:val="both"/>
        <w:outlineLvl w:val="5"/>
        <w:rPr>
          <w:rFonts w:ascii="Georgia" w:eastAsia="Times New Roman" w:hAnsi="Georgia" w:cs="Arial"/>
          <w:b/>
          <w:sz w:val="20"/>
          <w:szCs w:val="20"/>
          <w:lang w:eastAsia="ru-RU" w:bidi="ru-RU"/>
        </w:rPr>
      </w:pPr>
      <w:r w:rsidRPr="00743CE5">
        <w:rPr>
          <w:rFonts w:ascii="Georgia" w:eastAsia="Times New Roman" w:hAnsi="Georgia" w:cs="Times New Roman"/>
          <w:sz w:val="20"/>
          <w:szCs w:val="20"/>
          <w:lang w:eastAsia="ru-RU" w:bidi="ru-RU"/>
        </w:rPr>
        <w:t>Мы получили всю информацию и разъяснения, которые считали необходимыми для целей проведения аудита.</w:t>
      </w:r>
    </w:p>
    <w:p w:rsidR="00743CE5" w:rsidRPr="00743CE5" w:rsidRDefault="00743CE5" w:rsidP="00743CE5">
      <w:pPr>
        <w:keepNext/>
        <w:keepLines/>
        <w:widowControl w:val="0"/>
        <w:numPr>
          <w:ilvl w:val="0"/>
          <w:numId w:val="8"/>
        </w:numPr>
        <w:autoSpaceDE w:val="0"/>
        <w:autoSpaceDN w:val="0"/>
        <w:adjustRightInd w:val="0"/>
        <w:spacing w:after="0" w:line="240" w:lineRule="auto"/>
        <w:ind w:left="357" w:hanging="357"/>
        <w:jc w:val="both"/>
        <w:outlineLvl w:val="5"/>
        <w:rPr>
          <w:rFonts w:ascii="Georgia" w:eastAsia="Times New Roman" w:hAnsi="Georgia" w:cs="Arial"/>
          <w:b/>
          <w:sz w:val="20"/>
          <w:szCs w:val="20"/>
          <w:lang w:eastAsia="ru-RU" w:bidi="ru-RU"/>
        </w:rPr>
      </w:pPr>
      <w:r w:rsidRPr="00743CE5">
        <w:rPr>
          <w:rFonts w:ascii="Georgia" w:eastAsia="Times New Roman" w:hAnsi="Georgia" w:cs="Times New Roman"/>
          <w:sz w:val="20"/>
          <w:szCs w:val="20"/>
          <w:lang w:eastAsia="ru-RU" w:bidi="ru-RU"/>
        </w:rPr>
        <w:t>По нашему мнению, из результатов проведенной нами проверки учетных записей следует, что Компания ведет бухгалтерский учет надлежащим образом.</w:t>
      </w:r>
    </w:p>
    <w:p w:rsidR="00743CE5" w:rsidRPr="00743CE5" w:rsidRDefault="00743CE5" w:rsidP="00743CE5">
      <w:pPr>
        <w:keepNext/>
        <w:keepLines/>
        <w:widowControl w:val="0"/>
        <w:numPr>
          <w:ilvl w:val="0"/>
          <w:numId w:val="8"/>
        </w:numPr>
        <w:autoSpaceDE w:val="0"/>
        <w:autoSpaceDN w:val="0"/>
        <w:adjustRightInd w:val="0"/>
        <w:spacing w:after="0" w:line="240" w:lineRule="auto"/>
        <w:ind w:left="357" w:hanging="357"/>
        <w:jc w:val="both"/>
        <w:outlineLvl w:val="5"/>
        <w:rPr>
          <w:rFonts w:ascii="Georgia" w:eastAsia="Times New Roman" w:hAnsi="Georgia" w:cs="Arial"/>
          <w:b/>
          <w:sz w:val="20"/>
          <w:szCs w:val="20"/>
          <w:lang w:eastAsia="ru-RU" w:bidi="ru-RU"/>
        </w:rPr>
      </w:pPr>
      <w:r w:rsidRPr="00743CE5">
        <w:rPr>
          <w:rFonts w:ascii="Georgia" w:eastAsia="Times New Roman" w:hAnsi="Georgia" w:cs="Times New Roman"/>
          <w:sz w:val="20"/>
          <w:szCs w:val="20"/>
          <w:lang w:eastAsia="ru-RU" w:bidi="ru-RU"/>
        </w:rPr>
        <w:t>Финансовая отчетность Компании соответствует данным бухгалтерского учета.</w:t>
      </w:r>
    </w:p>
    <w:p w:rsidR="00743CE5" w:rsidRPr="00743CE5" w:rsidRDefault="00743CE5" w:rsidP="00743CE5">
      <w:pPr>
        <w:keepNext/>
        <w:keepLines/>
        <w:widowControl w:val="0"/>
        <w:numPr>
          <w:ilvl w:val="0"/>
          <w:numId w:val="8"/>
        </w:numPr>
        <w:autoSpaceDE w:val="0"/>
        <w:autoSpaceDN w:val="0"/>
        <w:adjustRightInd w:val="0"/>
        <w:spacing w:after="0" w:line="240" w:lineRule="auto"/>
        <w:ind w:left="357" w:hanging="357"/>
        <w:jc w:val="both"/>
        <w:outlineLvl w:val="5"/>
        <w:rPr>
          <w:rFonts w:ascii="Georgia" w:eastAsia="Times New Roman" w:hAnsi="Georgia" w:cs="Arial"/>
          <w:b/>
          <w:sz w:val="20"/>
          <w:szCs w:val="20"/>
          <w:lang w:eastAsia="ru-RU" w:bidi="ru-RU"/>
        </w:rPr>
      </w:pPr>
      <w:r w:rsidRPr="00743CE5">
        <w:rPr>
          <w:rFonts w:ascii="Georgia" w:eastAsia="Times New Roman" w:hAnsi="Georgia" w:cs="Times New Roman"/>
          <w:sz w:val="20"/>
          <w:szCs w:val="20"/>
          <w:lang w:eastAsia="ru-RU" w:bidi="ru-RU"/>
        </w:rPr>
        <w:t>По нашему мнению, и в соответствии с имеющейся у нас информацией и полученными разъяснениями, настоящая финансовая отчетность содержит информацию, представление которой необходимо в соответствии с Законом о компаниях Кипра, Раздел 113, подготовленную в соответствии с требованиями этого Закона.</w:t>
      </w:r>
    </w:p>
    <w:p w:rsidR="00743CE5" w:rsidRPr="00743CE5" w:rsidRDefault="00743CE5" w:rsidP="00743CE5">
      <w:pPr>
        <w:keepLines/>
        <w:widowControl w:val="0"/>
        <w:numPr>
          <w:ilvl w:val="0"/>
          <w:numId w:val="8"/>
        </w:numPr>
        <w:autoSpaceDE w:val="0"/>
        <w:autoSpaceDN w:val="0"/>
        <w:adjustRightInd w:val="0"/>
        <w:spacing w:after="0" w:line="240" w:lineRule="auto"/>
        <w:ind w:left="357" w:hanging="357"/>
        <w:jc w:val="both"/>
        <w:outlineLvl w:val="5"/>
        <w:rPr>
          <w:rFonts w:ascii="Georgia" w:eastAsia="Times New Roman" w:hAnsi="Georgia" w:cs="Arial"/>
          <w:b/>
          <w:sz w:val="20"/>
          <w:szCs w:val="20"/>
          <w:lang w:eastAsia="ru-RU" w:bidi="ru-RU"/>
        </w:rPr>
      </w:pPr>
      <w:r w:rsidRPr="00743CE5">
        <w:rPr>
          <w:rFonts w:ascii="Georgia" w:eastAsia="Times New Roman" w:hAnsi="Georgia" w:cs="Times New Roman"/>
          <w:sz w:val="20"/>
          <w:szCs w:val="20"/>
          <w:lang w:eastAsia="ru-RU" w:bidi="ru-RU"/>
        </w:rPr>
        <w:t>По нашему мнению, информация, представленная в Отчете Совета директоров, соответствует финансовой отчетности.</w:t>
      </w:r>
    </w:p>
    <w:p w:rsidR="00743CE5" w:rsidRPr="00743CE5" w:rsidRDefault="00743CE5" w:rsidP="00743CE5">
      <w:pPr>
        <w:widowControl w:val="0"/>
        <w:autoSpaceDE w:val="0"/>
        <w:autoSpaceDN w:val="0"/>
        <w:adjustRightInd w:val="0"/>
        <w:spacing w:after="0" w:line="240" w:lineRule="auto"/>
        <w:rPr>
          <w:rFonts w:ascii="Georgia" w:eastAsia="Times New Roman" w:hAnsi="Georgia" w:cs="Tahoma"/>
          <w:color w:val="000000"/>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Georgia" w:eastAsia="Times New Roman" w:hAnsi="Georgia" w:cs="Arial"/>
          <w:b/>
          <w:bCs/>
          <w:color w:val="000000"/>
          <w:sz w:val="20"/>
          <w:szCs w:val="20"/>
          <w:lang w:eastAsia="ru-RU" w:bidi="ru-RU"/>
        </w:rPr>
      </w:pPr>
      <w:r w:rsidRPr="00743CE5">
        <w:rPr>
          <w:rFonts w:ascii="Georgia" w:eastAsia="Times New Roman" w:hAnsi="Georgia" w:cs="Tahoma"/>
          <w:b/>
          <w:bCs/>
          <w:color w:val="000000"/>
          <w:sz w:val="20"/>
          <w:szCs w:val="24"/>
          <w:lang w:eastAsia="ru-RU" w:bidi="ru-RU"/>
        </w:rPr>
        <w:t>Прочие вопросы</w:t>
      </w:r>
    </w:p>
    <w:p w:rsidR="00743CE5" w:rsidRPr="00743CE5" w:rsidRDefault="00743CE5" w:rsidP="00743CE5">
      <w:pPr>
        <w:widowControl w:val="0"/>
        <w:autoSpaceDE w:val="0"/>
        <w:autoSpaceDN w:val="0"/>
        <w:adjustRightInd w:val="0"/>
        <w:spacing w:after="0" w:line="240" w:lineRule="auto"/>
        <w:rPr>
          <w:rFonts w:ascii="Georgia" w:eastAsia="Times New Roman" w:hAnsi="Georgia" w:cs="Tahoma"/>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Данное заключение, включая мнение аудитора, было подготовлено только для участников Компании в целом в соответствии с требованиями Раздела 34 Закона об аудиторах и аудите годовой и консолидированной отчетности 2009 и 2013 гг. и не может быть использовано в каких-либо иных целях. Выражая наше мнение, мы не принимаем на себя никакой ответственности и никаких обязательств в каких-либо иных целях или перед другими лицами, которые могут ознакомиться с данным заключением.</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Мы выпустили отдельное заключение в отношении консолидированной финансовой отчетности Компан</w:t>
      </w:r>
      <w:proofErr w:type="gramStart"/>
      <w:r w:rsidRPr="00743CE5">
        <w:rPr>
          <w:rFonts w:ascii="Georgia" w:eastAsia="Times New Roman" w:hAnsi="Georgia" w:cs="Tahoma"/>
          <w:color w:val="000000"/>
          <w:sz w:val="20"/>
          <w:szCs w:val="18"/>
          <w:lang w:eastAsia="ru-RU" w:bidi="ru-RU"/>
        </w:rPr>
        <w:t>ии и ее</w:t>
      </w:r>
      <w:proofErr w:type="gramEnd"/>
      <w:r w:rsidRPr="00743CE5">
        <w:rPr>
          <w:rFonts w:ascii="Georgia" w:eastAsia="Times New Roman" w:hAnsi="Georgia" w:cs="Tahoma"/>
          <w:color w:val="000000"/>
          <w:sz w:val="20"/>
          <w:szCs w:val="18"/>
          <w:lang w:eastAsia="ru-RU" w:bidi="ru-RU"/>
        </w:rPr>
        <w:t xml:space="preserve"> дочерних предприятий за год, закончившийся 31 декабря 2013 года.</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Георг К. Казамиас</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Сертифицированный бухгалтер и зарегистрированный аудитор</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от имени и по поручению</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PricewaterhouseCoopers Limited</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Сертифицированные бухгалтеры и зарегистрированные аудиторы</w:t>
      </w: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eastAsia="ru-RU" w:bidi="ru-RU"/>
        </w:rPr>
      </w:pPr>
      <w:r w:rsidRPr="00743CE5">
        <w:rPr>
          <w:rFonts w:ascii="Georgia" w:eastAsia="Times New Roman" w:hAnsi="Georgia" w:cs="Tahoma"/>
          <w:color w:val="000000"/>
          <w:sz w:val="20"/>
          <w:szCs w:val="18"/>
          <w:lang w:eastAsia="ru-RU" w:bidi="ru-RU"/>
        </w:rPr>
        <w:t>Никосия, Кипр</w:t>
      </w:r>
    </w:p>
    <w:p w:rsidR="00743CE5" w:rsidRDefault="00532742" w:rsidP="00743CE5">
      <w:pPr>
        <w:keepLines/>
        <w:widowControl w:val="0"/>
        <w:autoSpaceDE w:val="0"/>
        <w:autoSpaceDN w:val="0"/>
        <w:adjustRightInd w:val="0"/>
        <w:spacing w:after="0" w:line="240" w:lineRule="auto"/>
        <w:jc w:val="both"/>
        <w:rPr>
          <w:rFonts w:ascii="Georgia" w:eastAsia="Times New Roman" w:hAnsi="Georgia" w:cs="Tahoma"/>
          <w:color w:val="000000"/>
          <w:sz w:val="20"/>
          <w:szCs w:val="18"/>
          <w:lang w:val="en-US" w:eastAsia="ru-RU" w:bidi="ru-RU"/>
        </w:rPr>
      </w:pPr>
      <w:proofErr w:type="gramStart"/>
      <w:r>
        <w:rPr>
          <w:rFonts w:ascii="Georgia" w:eastAsia="Times New Roman" w:hAnsi="Georgia" w:cs="Tahoma"/>
          <w:color w:val="000000"/>
          <w:sz w:val="20"/>
          <w:szCs w:val="18"/>
          <w:lang w:val="en-US" w:eastAsia="ru-RU" w:bidi="ru-RU"/>
        </w:rPr>
        <w:t>18</w:t>
      </w:r>
      <w:r w:rsidR="00743CE5" w:rsidRPr="00743CE5">
        <w:rPr>
          <w:rFonts w:ascii="Georgia" w:eastAsia="Times New Roman" w:hAnsi="Georgia" w:cs="Tahoma"/>
          <w:color w:val="000000"/>
          <w:sz w:val="20"/>
          <w:szCs w:val="18"/>
          <w:lang w:eastAsia="ru-RU" w:bidi="ru-RU"/>
        </w:rPr>
        <w:t xml:space="preserve"> ноября 2014 г.</w:t>
      </w:r>
      <w:proofErr w:type="gramEnd"/>
    </w:p>
    <w:p w:rsid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val="en-US" w:eastAsia="ru-RU" w:bidi="ru-RU"/>
        </w:rPr>
      </w:pPr>
    </w:p>
    <w:p w:rsidR="00743CE5" w:rsidRPr="00743CE5" w:rsidRDefault="00743CE5" w:rsidP="00743CE5">
      <w:pPr>
        <w:keepLines/>
        <w:widowControl w:val="0"/>
        <w:autoSpaceDE w:val="0"/>
        <w:autoSpaceDN w:val="0"/>
        <w:adjustRightInd w:val="0"/>
        <w:spacing w:after="0" w:line="240" w:lineRule="auto"/>
        <w:jc w:val="both"/>
        <w:rPr>
          <w:rFonts w:ascii="Georgia" w:eastAsia="Times New Roman" w:hAnsi="Georgia" w:cs="Arial"/>
          <w:color w:val="000000"/>
          <w:sz w:val="20"/>
          <w:szCs w:val="20"/>
          <w:lang w:val="en-US" w:eastAsia="ru-RU" w:bidi="ru-RU"/>
        </w:rPr>
        <w:sectPr w:rsidR="00743CE5" w:rsidRPr="00743CE5" w:rsidSect="00CB150F">
          <w:headerReference w:type="default" r:id="rId69"/>
          <w:footerReference w:type="default" r:id="rId70"/>
          <w:pgSz w:w="11952" w:h="16848"/>
          <w:pgMar w:top="1021" w:right="1190" w:bottom="1021" w:left="1418" w:header="720" w:footer="720" w:gutter="0"/>
          <w:cols w:space="720"/>
          <w:noEndnote/>
        </w:sectPr>
      </w:pPr>
      <w:r>
        <w:rPr>
          <w:rFonts w:ascii="Georgia" w:eastAsia="Times New Roman" w:hAnsi="Georgia" w:cs="Arial"/>
          <w:noProof/>
          <w:color w:val="000000"/>
          <w:sz w:val="20"/>
          <w:szCs w:val="20"/>
          <w:lang w:eastAsia="ru-RU"/>
        </w:rPr>
        <w:drawing>
          <wp:inline distT="0" distB="0" distL="0" distR="0" wp14:anchorId="6A4E4688" wp14:editId="57F4B322">
            <wp:extent cx="5934075" cy="8393430"/>
            <wp:effectExtent l="0" t="0" r="9525"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FS_standalone_2013_ENG-001.jpg"/>
                    <pic:cNvPicPr/>
                  </pic:nvPicPr>
                  <pic:blipFill>
                    <a:blip r:embed="rId71">
                      <a:extLst>
                        <a:ext uri="{28A0092B-C50C-407E-A947-70E740481C1C}">
                          <a14:useLocalDpi xmlns:a14="http://schemas.microsoft.com/office/drawing/2010/main" val="0"/>
                        </a:ext>
                      </a:extLst>
                    </a:blip>
                    <a:stretch>
                      <a:fillRect/>
                    </a:stretch>
                  </pic:blipFill>
                  <pic:spPr>
                    <a:xfrm>
                      <a:off x="0" y="0"/>
                      <a:ext cx="5934075" cy="8393430"/>
                    </a:xfrm>
                    <a:prstGeom prst="rect">
                      <a:avLst/>
                    </a:prstGeom>
                  </pic:spPr>
                </pic:pic>
              </a:graphicData>
            </a:graphic>
          </wp:inline>
        </w:drawing>
      </w:r>
      <w:r>
        <w:rPr>
          <w:rFonts w:ascii="Georgia" w:eastAsia="Times New Roman" w:hAnsi="Georgia" w:cs="Arial"/>
          <w:noProof/>
          <w:color w:val="000000"/>
          <w:sz w:val="20"/>
          <w:szCs w:val="20"/>
          <w:lang w:eastAsia="ru-RU"/>
        </w:rPr>
        <w:drawing>
          <wp:inline distT="0" distB="0" distL="0" distR="0" wp14:anchorId="6189167C" wp14:editId="63308BE8">
            <wp:extent cx="5934075" cy="8393430"/>
            <wp:effectExtent l="0" t="0" r="9525"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FS_standalone_2013_ENG-002.jpg"/>
                    <pic:cNvPicPr/>
                  </pic:nvPicPr>
                  <pic:blipFill>
                    <a:blip r:embed="rId72">
                      <a:extLst>
                        <a:ext uri="{28A0092B-C50C-407E-A947-70E740481C1C}">
                          <a14:useLocalDpi xmlns:a14="http://schemas.microsoft.com/office/drawing/2010/main" val="0"/>
                        </a:ext>
                      </a:extLst>
                    </a:blip>
                    <a:stretch>
                      <a:fillRect/>
                    </a:stretch>
                  </pic:blipFill>
                  <pic:spPr>
                    <a:xfrm>
                      <a:off x="0" y="0"/>
                      <a:ext cx="5934075" cy="8393430"/>
                    </a:xfrm>
                    <a:prstGeom prst="rect">
                      <a:avLst/>
                    </a:prstGeom>
                  </pic:spPr>
                </pic:pic>
              </a:graphicData>
            </a:graphic>
          </wp:inline>
        </w:drawing>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 xml:space="preserve">ОТЧЕТ О СОВОКУПНОМ ДОХОДЕ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276" w:type="dxa"/>
        <w:tblLayout w:type="fixed"/>
        <w:tblLook w:val="0000" w:firstRow="0" w:lastRow="0" w:firstColumn="0" w:lastColumn="0" w:noHBand="0" w:noVBand="0"/>
      </w:tblPr>
      <w:tblGrid>
        <w:gridCol w:w="4395"/>
        <w:gridCol w:w="677"/>
        <w:gridCol w:w="1132"/>
        <w:gridCol w:w="1690"/>
        <w:gridCol w:w="1382"/>
      </w:tblGrid>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p>
        </w:tc>
        <w:tc>
          <w:tcPr>
            <w:tcW w:w="169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2013</w:t>
            </w:r>
          </w:p>
        </w:tc>
        <w:tc>
          <w:tcPr>
            <w:tcW w:w="13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w:t>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132"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3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13,269,215</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27,412,512</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по дивидендам</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248,200,573</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(расходы)/доходы от операций с финансовыми активами, оцениваемыми по справедливой стоимости, изменения которой отражаются в составе прибыли или убытка</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(350,175,878)</w:t>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331,635,189</w:t>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доходы</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4,098,980</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Административные расходы</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(14,494,400)</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(19,623,492)</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расходы</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(2,364,053)</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(1,619,164)</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Операционный (убыток) / прибыль</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(101,465,563)</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337,805,045</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расходы</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(20,447,485)</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(33,514,050)</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(Убыток)/прибыль до налогообложения</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(121,913,048)</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304,290,995</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Налогообложение</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(3,121)</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(Убыток)/прибыль за год </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(121,916,169)</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304,290,995</w:t>
            </w:r>
            <w:r w:rsidRPr="00743CE5">
              <w:rPr>
                <w:rFonts w:ascii="Tahoma" w:eastAsia="Times New Roman" w:hAnsi="Tahoma" w:cs="Tahoma"/>
                <w:color w:val="000000"/>
                <w:sz w:val="18"/>
                <w:szCs w:val="18"/>
                <w:lang w:eastAsia="ru-RU" w:bidi="ru-RU"/>
              </w:rPr>
              <w:tab/>
            </w:r>
          </w:p>
        </w:tc>
      </w:tr>
      <w:tr w:rsidR="00743CE5" w:rsidRPr="00743CE5" w:rsidTr="00743CE5">
        <w:tc>
          <w:tcPr>
            <w:tcW w:w="43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Прочий совокупный доход</w:t>
            </w:r>
          </w:p>
        </w:tc>
        <w:tc>
          <w:tcPr>
            <w:tcW w:w="677"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2"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c>
          <w:tcPr>
            <w:tcW w:w="1690"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072" w:type="dxa"/>
            <w:gridSpan w:val="2"/>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Итого совокупный (убыток)/доход за год </w:t>
            </w:r>
          </w:p>
        </w:tc>
        <w:tc>
          <w:tcPr>
            <w:tcW w:w="1132"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69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(121,916,169)</w:t>
            </w:r>
            <w:r w:rsidRPr="00743CE5">
              <w:rPr>
                <w:rFonts w:ascii="Tahoma" w:eastAsia="Times New Roman" w:hAnsi="Tahoma" w:cs="Tahoma"/>
                <w:color w:val="000000"/>
                <w:sz w:val="18"/>
                <w:szCs w:val="18"/>
                <w:lang w:eastAsia="ru-RU" w:bidi="ru-RU"/>
              </w:rPr>
              <w:tab/>
            </w:r>
          </w:p>
        </w:tc>
        <w:tc>
          <w:tcPr>
            <w:tcW w:w="1382" w:type="dxa"/>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304,290,995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73"/>
          <w:footerReference w:type="default" r:id="rId74"/>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ОТЧЕТ О ФИНАНСОВОМ ПОЛОЖЕНИИ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На 31 декабря 2013 г.</w:t>
      </w:r>
    </w:p>
    <w:tbl>
      <w:tblPr>
        <w:tblW w:w="0" w:type="auto"/>
        <w:tblInd w:w="39" w:type="dxa"/>
        <w:tblLayout w:type="fixed"/>
        <w:tblCellMar>
          <w:left w:w="39" w:type="dxa"/>
          <w:right w:w="39" w:type="dxa"/>
        </w:tblCellMar>
        <w:tblLook w:val="0000" w:firstRow="0" w:lastRow="0" w:firstColumn="0" w:lastColumn="0" w:noHBand="0" w:noVBand="0"/>
      </w:tblPr>
      <w:tblGrid>
        <w:gridCol w:w="4708"/>
        <w:gridCol w:w="677"/>
        <w:gridCol w:w="1411"/>
        <w:gridCol w:w="1411"/>
        <w:gridCol w:w="1282"/>
      </w:tblGrid>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года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31 декабря 2012 года </w:t>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АКТИВЫ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активы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1,461,239,672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1,334,375,294</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Инвестиции в ассоциированное предприятие</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9,583,300</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21</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49,624,145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294,162,727</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1,510,863,817</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1,638,121,321</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активы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658,548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20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2,027,023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20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21</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35,944,600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20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 xml:space="preserve"> 17,781,224</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277,678,022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25,936,968</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2,614,659</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317,986,309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46,332,851</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активы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1,828,850,126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1,684,454,172</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КАПИТАЛ И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Капитал и резервы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Акционерный капитал</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1,025,531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667,804</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Погашаемые привилегированные акции</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168</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Эмиссионный доход </w:t>
            </w:r>
            <w:r w:rsidRPr="00743CE5">
              <w:rPr>
                <w:rFonts w:ascii="Tahoma" w:eastAsia="Times New Roman" w:hAnsi="Tahoma" w:cs="Tahoma"/>
                <w:color w:val="000000"/>
                <w:sz w:val="18"/>
                <w:szCs w:val="18"/>
                <w:lang w:eastAsia="ru-RU" w:bidi="ru-RU"/>
              </w:rPr>
              <w:noBreakHyphen/>
              <w:t xml:space="preserve"> обыкновенные акции</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1,065,790,799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471,245,927</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Эмиссионный доход - погашаемые привилегированные акции</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167,899,832</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Резерв по выплатам, основанным на акциях</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5,329,321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Нераспределенная прибыль </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498,722,085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673,194,464</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 капитал</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239"/>
                <w:tab w:val="left" w:pos="1440"/>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239"/>
                <w:tab w:val="left" w:pos="144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1,570,867,736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204"/>
                <w:tab w:val="left" w:pos="144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1,313,008,195</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294,894,593</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26</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47,672,125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47,139,062</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53,865,626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25,272,787</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685,525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4,132,419</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налоговые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9,582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7,116</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102,232,858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76,551,384</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257,982,390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371,445,977</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капитал и обязательства</w:t>
            </w: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1,828,850,126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1,684,454,172</w:t>
            </w:r>
            <w:r w:rsidRPr="00743CE5">
              <w:rPr>
                <w:rFonts w:ascii="Tahoma" w:eastAsia="Times New Roman" w:hAnsi="Tahoma" w:cs="Tahoma"/>
                <w:color w:val="000000"/>
                <w:sz w:val="18"/>
                <w:szCs w:val="18"/>
                <w:lang w:eastAsia="ru-RU" w:bidi="ru-RU"/>
              </w:rPr>
              <w:tab/>
            </w:r>
          </w:p>
        </w:tc>
      </w:tr>
      <w:tr w:rsidR="00743CE5" w:rsidRPr="00743CE5" w:rsidTr="00743CE5">
        <w:tc>
          <w:tcPr>
            <w:tcW w:w="470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67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6"/>
          <w:szCs w:val="6"/>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__ ноября 2014 года Совет директоров O1 Properties Limited утвердил данную финансовую отчетность к выпуску. </w:t>
      </w:r>
    </w:p>
    <w:tbl>
      <w:tblPr>
        <w:tblW w:w="14860" w:type="dxa"/>
        <w:tblInd w:w="45" w:type="dxa"/>
        <w:tblLayout w:type="fixed"/>
        <w:tblCellMar>
          <w:left w:w="45" w:type="dxa"/>
          <w:right w:w="45" w:type="dxa"/>
        </w:tblCellMar>
        <w:tblLook w:val="0000" w:firstRow="0" w:lastRow="0" w:firstColumn="0" w:lastColumn="0" w:noHBand="0" w:noVBand="0"/>
      </w:tblPr>
      <w:tblGrid>
        <w:gridCol w:w="2835"/>
        <w:gridCol w:w="2552"/>
        <w:gridCol w:w="9473"/>
      </w:tblGrid>
      <w:tr w:rsidR="00743CE5" w:rsidRPr="00743CE5" w:rsidTr="00743CE5">
        <w:tc>
          <w:tcPr>
            <w:tcW w:w="2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55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947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2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255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947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2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Дмитрий Минц</w:t>
            </w:r>
          </w:p>
        </w:tc>
        <w:tc>
          <w:tcPr>
            <w:tcW w:w="255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Александр Островский  </w:t>
            </w:r>
          </w:p>
        </w:tc>
        <w:tc>
          <w:tcPr>
            <w:tcW w:w="947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Томаш Замиара</w:t>
            </w:r>
          </w:p>
        </w:tc>
      </w:tr>
      <w:tr w:rsidR="00743CE5" w:rsidRPr="00743CE5" w:rsidTr="00743CE5">
        <w:tc>
          <w:tcPr>
            <w:tcW w:w="2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c>
          <w:tcPr>
            <w:tcW w:w="255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c>
          <w:tcPr>
            <w:tcW w:w="947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75"/>
          <w:footerReference w:type="default" r:id="rId76"/>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ОТЧЕТ ОБ ИЗМЕНЕНИЯХ В КАПИТАЛЕ</w:t>
      </w:r>
      <w:r w:rsidRPr="00743CE5">
        <w:rPr>
          <w:rFonts w:ascii="Tahoma" w:eastAsia="Times New Roman" w:hAnsi="Tahoma" w:cs="Tahoma"/>
          <w:color w:val="000000"/>
          <w:sz w:val="18"/>
          <w:szCs w:val="2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10490" w:type="dxa"/>
        <w:tblLayout w:type="fixed"/>
        <w:tblLook w:val="0000" w:firstRow="0" w:lastRow="0" w:firstColumn="0" w:lastColumn="0" w:noHBand="0" w:noVBand="0"/>
      </w:tblPr>
      <w:tblGrid>
        <w:gridCol w:w="1414"/>
        <w:gridCol w:w="428"/>
        <w:gridCol w:w="960"/>
        <w:gridCol w:w="850"/>
        <w:gridCol w:w="1276"/>
        <w:gridCol w:w="1168"/>
        <w:gridCol w:w="1134"/>
        <w:gridCol w:w="992"/>
        <w:gridCol w:w="1134"/>
        <w:gridCol w:w="1134"/>
      </w:tblGrid>
      <w:tr w:rsidR="00743CE5" w:rsidRPr="00743CE5" w:rsidTr="00743CE5">
        <w:trPr>
          <w:trHeight w:val="963"/>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Акционерный капитал</w:t>
            </w:r>
          </w:p>
        </w:tc>
        <w:tc>
          <w:tcPr>
            <w:tcW w:w="85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Погашаемые </w:t>
            </w:r>
            <w:proofErr w:type="gramStart"/>
            <w:r w:rsidRPr="00743CE5">
              <w:rPr>
                <w:rFonts w:ascii="Tahoma" w:eastAsia="Times New Roman" w:hAnsi="Tahoma" w:cs="Tahoma"/>
                <w:color w:val="000000"/>
                <w:sz w:val="14"/>
                <w:szCs w:val="18"/>
                <w:lang w:eastAsia="ru-RU" w:bidi="ru-RU"/>
              </w:rPr>
              <w:t>приви-легированные</w:t>
            </w:r>
            <w:proofErr w:type="gramEnd"/>
            <w:r w:rsidRPr="00743CE5">
              <w:rPr>
                <w:rFonts w:ascii="Tahoma" w:eastAsia="Times New Roman" w:hAnsi="Tahoma" w:cs="Tahoma"/>
                <w:color w:val="000000"/>
                <w:sz w:val="14"/>
                <w:szCs w:val="18"/>
                <w:lang w:eastAsia="ru-RU" w:bidi="ru-RU"/>
              </w:rPr>
              <w:t xml:space="preserve"> акции</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обыкновенные акции</w:t>
            </w: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погашаемые привилегированные акции</w:t>
            </w: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Взнос акционеров</w:t>
            </w: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Резерв по выплатам, основанным на акциях</w:t>
            </w: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Нераспределенная прибыль (1)</w:t>
            </w: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Итого</w:t>
            </w:r>
          </w:p>
        </w:tc>
      </w:tr>
      <w:tr w:rsidR="00743CE5" w:rsidRPr="00743CE5" w:rsidTr="00743CE5">
        <w:trPr>
          <w:trHeight w:val="203"/>
        </w:trPr>
        <w:tc>
          <w:tcPr>
            <w:tcW w:w="1842" w:type="dxa"/>
            <w:gridSpan w:val="2"/>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Прим.</w:t>
            </w:r>
          </w:p>
        </w:tc>
        <w:tc>
          <w:tcPr>
            <w:tcW w:w="960"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850"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1168"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113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992"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113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c>
          <w:tcPr>
            <w:tcW w:w="113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долл. США</w:t>
            </w:r>
          </w:p>
        </w:tc>
      </w:tr>
      <w:tr w:rsidR="00743CE5" w:rsidRPr="00743CE5" w:rsidTr="00743CE5">
        <w:trPr>
          <w:trHeight w:val="203"/>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85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Остаток на 1 января 2012 г. </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17,764</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right" w:pos="787"/>
                <w:tab w:val="left" w:pos="92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787"/>
                <w:tab w:val="left" w:pos="92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468,566,000</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w:t>
            </w:r>
          </w:p>
          <w:p w:rsidR="00743CE5" w:rsidRPr="00743CE5"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p>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372,853,469</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841,437,233</w:t>
            </w:r>
          </w:p>
        </w:tc>
      </w:tr>
      <w:tr w:rsidR="00743CE5" w:rsidRPr="00743CE5" w:rsidTr="00743CE5">
        <w:trPr>
          <w:trHeight w:val="186"/>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85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Совокупный доход</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850" w:type="dxa"/>
          </w:tcPr>
          <w:p w:rsidR="00743CE5" w:rsidRPr="00743CE5" w:rsidRDefault="00743CE5" w:rsidP="00743CE5">
            <w:pPr>
              <w:widowControl w:val="0"/>
              <w:autoSpaceDE w:val="0"/>
              <w:autoSpaceDN w:val="0"/>
              <w:adjustRightInd w:val="0"/>
              <w:spacing w:after="0" w:line="240" w:lineRule="auto"/>
              <w:ind w:left="103" w:hanging="103"/>
              <w:jc w:val="right"/>
              <w:rPr>
                <w:rFonts w:ascii="Tahoma" w:eastAsia="Times New Roman" w:hAnsi="Tahoma" w:cs="Tahoma"/>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743CE5" w:rsidTr="00743CE5">
        <w:trPr>
          <w:trHeight w:val="203"/>
        </w:trPr>
        <w:tc>
          <w:tcPr>
            <w:tcW w:w="1842" w:type="dxa"/>
            <w:gridSpan w:val="2"/>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Чистая прибыль за год</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right" w:pos="787"/>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918"/>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304,290,995</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304,290,995</w:t>
            </w:r>
            <w:r w:rsidRPr="00743CE5">
              <w:rPr>
                <w:rFonts w:ascii="Tahoma" w:eastAsia="Times New Roman" w:hAnsi="Tahoma" w:cs="Tahoma"/>
                <w:color w:val="000000"/>
                <w:sz w:val="18"/>
                <w:szCs w:val="18"/>
                <w:lang w:eastAsia="ru-RU" w:bidi="ru-RU"/>
              </w:rPr>
              <w:tab/>
            </w: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Операции с владельцами</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85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743CE5" w:rsidTr="00743CE5">
        <w:trPr>
          <w:trHeight w:val="186"/>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Выпуск акционерного капитала</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24</w:t>
            </w:r>
          </w:p>
        </w:tc>
        <w:tc>
          <w:tcPr>
            <w:tcW w:w="960" w:type="dxa"/>
          </w:tcPr>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  650,040</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left" w:pos="303"/>
                <w:tab w:val="left" w:pos="634"/>
                <w:tab w:val="right" w:pos="902"/>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                     168</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2,679,927</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812"/>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 xml:space="preserve">     167,899,832</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w:t>
            </w:r>
          </w:p>
        </w:tc>
        <w:tc>
          <w:tcPr>
            <w:tcW w:w="1134" w:type="dxa"/>
          </w:tcPr>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171,229,967</w:t>
            </w:r>
            <w:r w:rsidRPr="00743CE5">
              <w:rPr>
                <w:rFonts w:ascii="Tahoma" w:eastAsia="Times New Roman" w:hAnsi="Tahoma" w:cs="Tahoma"/>
                <w:color w:val="000000"/>
                <w:sz w:val="18"/>
                <w:szCs w:val="18"/>
                <w:lang w:eastAsia="ru-RU" w:bidi="ru-RU"/>
              </w:rPr>
              <w:tab/>
            </w:r>
          </w:p>
        </w:tc>
      </w:tr>
      <w:tr w:rsidR="00743CE5" w:rsidRPr="00743CE5" w:rsidTr="00743CE5">
        <w:trPr>
          <w:trHeight w:val="203"/>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Дивиденды</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13</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 xml:space="preserve">  -</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459"/>
                <w:tab w:val="right" w:pos="787"/>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 xml:space="preserve"> -</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 xml:space="preserve">  -</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(3,950,000)</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(3,950,000)</w:t>
            </w:r>
            <w:r w:rsidRPr="00743CE5">
              <w:rPr>
                <w:rFonts w:ascii="Tahoma" w:eastAsia="Times New Roman" w:hAnsi="Tahoma" w:cs="Tahoma"/>
                <w:color w:val="000000"/>
                <w:sz w:val="18"/>
                <w:szCs w:val="18"/>
                <w:lang w:eastAsia="ru-RU" w:bidi="ru-RU"/>
              </w:rPr>
              <w:tab/>
            </w:r>
          </w:p>
        </w:tc>
      </w:tr>
      <w:tr w:rsidR="00743CE5" w:rsidRPr="00743CE5" w:rsidTr="00743CE5">
        <w:trPr>
          <w:trHeight w:val="592"/>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Остаток на 31 декабря 2012 г. </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667,804</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168</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471,245,927</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812"/>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812"/>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167,899,832</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 xml:space="preserve">                -</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673,194,464</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56"/>
                <w:tab w:val="left" w:pos="1202"/>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p w:rsidR="00743CE5" w:rsidRPr="00743CE5" w:rsidRDefault="00743CE5" w:rsidP="00743CE5">
            <w:pPr>
              <w:widowControl w:val="0"/>
              <w:tabs>
                <w:tab w:val="right" w:pos="918"/>
                <w:tab w:val="left" w:pos="1202"/>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lang w:eastAsia="ru-RU" w:bidi="ru-RU"/>
              </w:rPr>
              <w:t>1,313,008,195</w:t>
            </w:r>
            <w:r w:rsidRPr="00743CE5">
              <w:rPr>
                <w:rFonts w:ascii="Tahoma" w:eastAsia="Times New Roman" w:hAnsi="Tahoma" w:cs="Tahoma"/>
                <w:color w:val="000000"/>
                <w:sz w:val="18"/>
                <w:szCs w:val="18"/>
                <w:lang w:eastAsia="ru-RU" w:bidi="ru-RU"/>
              </w:rPr>
              <w:tab/>
            </w:r>
          </w:p>
        </w:tc>
      </w:tr>
      <w:tr w:rsidR="00743CE5" w:rsidRPr="00743CE5" w:rsidTr="00743CE5">
        <w:trPr>
          <w:trHeight w:val="203"/>
        </w:trPr>
        <w:tc>
          <w:tcPr>
            <w:tcW w:w="1842" w:type="dxa"/>
            <w:gridSpan w:val="2"/>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b/>
                <w:color w:val="000000"/>
                <w:sz w:val="14"/>
                <w:szCs w:val="18"/>
                <w:lang w:eastAsia="ru-RU" w:bidi="ru-RU"/>
              </w:rPr>
              <w:t>Совокупный убыток</w:t>
            </w: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850" w:type="dxa"/>
          </w:tcPr>
          <w:p w:rsidR="00743CE5" w:rsidRPr="00743CE5" w:rsidRDefault="00743CE5" w:rsidP="00743CE5">
            <w:pPr>
              <w:widowControl w:val="0"/>
              <w:tabs>
                <w:tab w:val="left" w:pos="634"/>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743CE5" w:rsidTr="00743CE5">
        <w:trPr>
          <w:trHeight w:val="186"/>
        </w:trPr>
        <w:tc>
          <w:tcPr>
            <w:tcW w:w="1842" w:type="dxa"/>
            <w:gridSpan w:val="2"/>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Чистый убыток за год</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600"/>
                <w:tab w:val="right" w:pos="787"/>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(121,916,169)</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(121,916,169)</w:t>
            </w:r>
            <w:r w:rsidRPr="00743CE5">
              <w:rPr>
                <w:rFonts w:ascii="Tahoma" w:eastAsia="Times New Roman" w:hAnsi="Tahoma" w:cs="Tahoma"/>
                <w:color w:val="000000"/>
                <w:sz w:val="18"/>
                <w:szCs w:val="18"/>
                <w:lang w:eastAsia="ru-RU" w:bidi="ru-RU"/>
              </w:rPr>
              <w:tab/>
            </w: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lang w:eastAsia="ru-RU" w:bidi="ru-RU"/>
              </w:rPr>
              <w:t>Операции с владельцами</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850" w:type="dxa"/>
          </w:tcPr>
          <w:p w:rsidR="00743CE5" w:rsidRPr="00743CE5" w:rsidRDefault="00743CE5" w:rsidP="00743CE5">
            <w:pPr>
              <w:widowControl w:val="0"/>
              <w:tabs>
                <w:tab w:val="left" w:pos="634"/>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99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743CE5" w:rsidTr="00743CE5">
        <w:trPr>
          <w:trHeight w:val="203"/>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Выпуск акционерного капитала</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24</w:t>
            </w:r>
          </w:p>
        </w:tc>
        <w:tc>
          <w:tcPr>
            <w:tcW w:w="960" w:type="dxa"/>
          </w:tcPr>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357,357</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202</w:t>
            </w:r>
          </w:p>
        </w:tc>
        <w:tc>
          <w:tcPr>
            <w:tcW w:w="1276" w:type="dxa"/>
          </w:tcPr>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224,645,242</w:t>
            </w:r>
          </w:p>
        </w:tc>
        <w:tc>
          <w:tcPr>
            <w:tcW w:w="1168" w:type="dxa"/>
          </w:tcPr>
          <w:p w:rsidR="00743CE5" w:rsidRPr="00743CE5" w:rsidRDefault="00743CE5" w:rsidP="00743CE5">
            <w:pPr>
              <w:widowControl w:val="0"/>
              <w:tabs>
                <w:tab w:val="right" w:pos="88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201,999,798</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427,002,599</w:t>
            </w:r>
            <w:r w:rsidRPr="00743CE5">
              <w:rPr>
                <w:rFonts w:ascii="Tahoma" w:eastAsia="Times New Roman" w:hAnsi="Tahoma" w:cs="Tahoma"/>
                <w:color w:val="000000"/>
                <w:sz w:val="18"/>
                <w:szCs w:val="18"/>
                <w:lang w:eastAsia="ru-RU" w:bidi="ru-RU"/>
              </w:rPr>
              <w:tab/>
            </w: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Погашение привилегированных акций</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24</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370</w:t>
            </w:r>
          </w:p>
        </w:tc>
        <w:tc>
          <w:tcPr>
            <w:tcW w:w="850" w:type="dxa"/>
          </w:tcPr>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(370)</w:t>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369,899,630</w:t>
            </w:r>
          </w:p>
        </w:tc>
        <w:tc>
          <w:tcPr>
            <w:tcW w:w="1168" w:type="dxa"/>
          </w:tcPr>
          <w:p w:rsidR="00743CE5" w:rsidRPr="00743CE5" w:rsidRDefault="00743CE5" w:rsidP="00743CE5">
            <w:pPr>
              <w:widowControl w:val="0"/>
              <w:tabs>
                <w:tab w:val="right" w:pos="88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 xml:space="preserve"> (369,899,630)</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rPr>
          <w:trHeight w:val="186"/>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Дивиденды</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13</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634"/>
                <w:tab w:val="right" w:pos="902"/>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left" w:pos="954"/>
                <w:tab w:val="right" w:pos="110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(52,556,210)</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lang w:eastAsia="ru-RU" w:bidi="ru-RU"/>
              </w:rPr>
              <w:t>(52,556,210)</w:t>
            </w:r>
            <w:r w:rsidRPr="00743CE5">
              <w:rPr>
                <w:rFonts w:ascii="Tahoma" w:eastAsia="Times New Roman" w:hAnsi="Tahoma" w:cs="Tahoma"/>
                <w:color w:val="000000"/>
                <w:sz w:val="18"/>
                <w:szCs w:val="18"/>
                <w:lang w:eastAsia="ru-RU" w:bidi="ru-RU"/>
              </w:rPr>
              <w:tab/>
            </w:r>
          </w:p>
        </w:tc>
      </w:tr>
      <w:tr w:rsidR="00743CE5" w:rsidRPr="00743CE5" w:rsidTr="00743CE5">
        <w:trPr>
          <w:trHeight w:val="389"/>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Выпуск акций для высшего руководства</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lang w:eastAsia="ru-RU" w:bidi="ru-RU"/>
              </w:rPr>
              <w:t>24</w:t>
            </w:r>
          </w:p>
        </w:tc>
        <w:tc>
          <w:tcPr>
            <w:tcW w:w="960" w:type="dxa"/>
          </w:tcPr>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614"/>
                <w:tab w:val="left" w:pos="756"/>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850" w:type="dxa"/>
          </w:tcPr>
          <w:p w:rsidR="00743CE5" w:rsidRPr="00743CE5" w:rsidRDefault="00743CE5" w:rsidP="00743CE5">
            <w:pPr>
              <w:widowControl w:val="0"/>
              <w:tabs>
                <w:tab w:val="left" w:pos="318"/>
                <w:tab w:val="left" w:pos="634"/>
                <w:tab w:val="right" w:pos="787"/>
                <w:tab w:val="left" w:pos="928"/>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left" w:pos="318"/>
                <w:tab w:val="left" w:pos="634"/>
                <w:tab w:val="right" w:pos="787"/>
                <w:tab w:val="left" w:pos="92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p>
        </w:tc>
        <w:tc>
          <w:tcPr>
            <w:tcW w:w="1276" w:type="dxa"/>
          </w:tcPr>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989"/>
                <w:tab w:val="left" w:pos="113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1168" w:type="dxa"/>
          </w:tcPr>
          <w:p w:rsidR="00743CE5" w:rsidRPr="00743CE5" w:rsidRDefault="00743CE5" w:rsidP="00743CE5">
            <w:pPr>
              <w:widowControl w:val="0"/>
              <w:tabs>
                <w:tab w:val="right" w:pos="954"/>
                <w:tab w:val="left" w:pos="1245"/>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95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left" w:pos="850"/>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r w:rsidRPr="00743CE5">
              <w:rPr>
                <w:rFonts w:ascii="Tahoma" w:eastAsia="Times New Roman" w:hAnsi="Tahoma" w:cs="Tahoma"/>
                <w:color w:val="000000"/>
                <w:sz w:val="14"/>
                <w:szCs w:val="18"/>
                <w:u w:val="single"/>
                <w:lang w:eastAsia="ru-RU" w:bidi="ru-RU"/>
              </w:rPr>
              <w:t xml:space="preserve">                  -</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4"/>
                <w:szCs w:val="14"/>
                <w:lang w:eastAsia="ru-RU" w:bidi="ru-RU"/>
              </w:rPr>
            </w:pPr>
            <w:r w:rsidRPr="00743CE5">
              <w:rPr>
                <w:rFonts w:ascii="Tahoma" w:eastAsia="Times New Roman" w:hAnsi="Tahoma" w:cs="Tahoma"/>
                <w:color w:val="000000"/>
                <w:sz w:val="14"/>
                <w:szCs w:val="18"/>
                <w:u w:val="single"/>
                <w:lang w:eastAsia="ru-RU" w:bidi="ru-RU"/>
              </w:rPr>
              <w:t xml:space="preserve">   5,329,321</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902"/>
                <w:tab w:val="left" w:pos="1044"/>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u w:val="single"/>
                <w:lang w:eastAsia="ru-RU" w:bidi="ru-RU"/>
              </w:rPr>
            </w:pPr>
          </w:p>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4"/>
                <w:szCs w:val="18"/>
                <w:u w:val="single"/>
                <w:lang w:eastAsia="ru-RU" w:bidi="ru-RU"/>
              </w:rPr>
              <w:t>5,329,321</w:t>
            </w:r>
            <w:r w:rsidRPr="00743CE5">
              <w:rPr>
                <w:rFonts w:ascii="Tahoma" w:eastAsia="Times New Roman" w:hAnsi="Tahoma" w:cs="Tahoma"/>
                <w:color w:val="000000"/>
                <w:sz w:val="18"/>
                <w:szCs w:val="18"/>
                <w:lang w:eastAsia="ru-RU" w:bidi="ru-RU"/>
              </w:rPr>
              <w:tab/>
            </w:r>
          </w:p>
        </w:tc>
      </w:tr>
      <w:tr w:rsidR="00743CE5" w:rsidRPr="00743CE5" w:rsidTr="00743CE5">
        <w:trPr>
          <w:trHeight w:val="592"/>
        </w:trPr>
        <w:tc>
          <w:tcPr>
            <w:tcW w:w="141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743CE5">
              <w:rPr>
                <w:rFonts w:ascii="Tahoma" w:eastAsia="Times New Roman" w:hAnsi="Tahoma" w:cs="Tahoma"/>
                <w:b/>
                <w:bCs/>
                <w:color w:val="000000"/>
                <w:sz w:val="14"/>
                <w:szCs w:val="18"/>
                <w:lang w:eastAsia="ru-RU" w:bidi="ru-RU"/>
              </w:rPr>
              <w:t>Остаток на 31 декабря 2013 г.</w:t>
            </w:r>
          </w:p>
        </w:tc>
        <w:tc>
          <w:tcPr>
            <w:tcW w:w="428"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p>
        </w:tc>
        <w:tc>
          <w:tcPr>
            <w:tcW w:w="960" w:type="dxa"/>
          </w:tcPr>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730"/>
                <w:tab w:val="left" w:pos="756"/>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u w:val="double"/>
                <w:lang w:eastAsia="ru-RU" w:bidi="ru-RU"/>
              </w:rPr>
              <w:t>1,025,531</w:t>
            </w:r>
          </w:p>
        </w:tc>
        <w:tc>
          <w:tcPr>
            <w:tcW w:w="850" w:type="dxa"/>
          </w:tcPr>
          <w:p w:rsidR="00743CE5" w:rsidRPr="00743CE5" w:rsidRDefault="00743CE5" w:rsidP="00743CE5">
            <w:pPr>
              <w:widowControl w:val="0"/>
              <w:tabs>
                <w:tab w:val="left" w:pos="318"/>
                <w:tab w:val="left" w:pos="634"/>
                <w:tab w:val="right" w:pos="787"/>
                <w:tab w:val="left" w:pos="928"/>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left" w:pos="318"/>
                <w:tab w:val="left" w:pos="634"/>
                <w:tab w:val="right" w:pos="787"/>
                <w:tab w:val="left" w:pos="92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u w:val="doub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u w:val="double"/>
                <w:lang w:eastAsia="ru-RU" w:bidi="ru-RU"/>
              </w:rPr>
              <w:t>-</w:t>
            </w:r>
          </w:p>
        </w:tc>
        <w:tc>
          <w:tcPr>
            <w:tcW w:w="1276" w:type="dxa"/>
          </w:tcPr>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1104"/>
                <w:tab w:val="left" w:pos="1130"/>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r w:rsidRPr="00743CE5">
              <w:rPr>
                <w:rFonts w:ascii="Tahoma" w:eastAsia="Times New Roman" w:hAnsi="Tahoma" w:cs="Tahoma"/>
                <w:b/>
                <w:color w:val="000000"/>
                <w:sz w:val="14"/>
                <w:szCs w:val="18"/>
                <w:u w:val="double"/>
                <w:lang w:eastAsia="ru-RU" w:bidi="ru-RU"/>
              </w:rPr>
              <w:t>1,065,790,799</w:t>
            </w:r>
          </w:p>
        </w:tc>
        <w:tc>
          <w:tcPr>
            <w:tcW w:w="1168" w:type="dxa"/>
          </w:tcPr>
          <w:p w:rsidR="00743CE5" w:rsidRPr="00743CE5" w:rsidRDefault="00743CE5" w:rsidP="00743CE5">
            <w:pPr>
              <w:widowControl w:val="0"/>
              <w:tabs>
                <w:tab w:val="right" w:pos="812"/>
                <w:tab w:val="left" w:pos="1245"/>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812"/>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u w:val="double"/>
                <w:lang w:eastAsia="ru-RU" w:bidi="ru-RU"/>
              </w:rPr>
              <w:t>-</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r w:rsidRPr="00743CE5">
              <w:rPr>
                <w:rFonts w:ascii="Tahoma" w:eastAsia="Times New Roman" w:hAnsi="Tahoma" w:cs="Tahoma"/>
                <w:b/>
                <w:color w:val="000000"/>
                <w:sz w:val="14"/>
                <w:szCs w:val="18"/>
                <w:u w:val="double"/>
                <w:lang w:eastAsia="ru-RU" w:bidi="ru-RU"/>
              </w:rPr>
              <w:t xml:space="preserve">                   -</w:t>
            </w:r>
            <w:r w:rsidRPr="00743CE5">
              <w:rPr>
                <w:rFonts w:ascii="Tahoma" w:eastAsia="Times New Roman" w:hAnsi="Tahoma" w:cs="Tahoma"/>
                <w:color w:val="000000"/>
                <w:sz w:val="18"/>
                <w:szCs w:val="18"/>
                <w:lang w:eastAsia="ru-RU" w:bidi="ru-RU"/>
              </w:rPr>
              <w:tab/>
            </w:r>
          </w:p>
        </w:tc>
        <w:tc>
          <w:tcPr>
            <w:tcW w:w="992" w:type="dxa"/>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left" w:pos="776"/>
                <w:tab w:val="right" w:pos="1032"/>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b/>
                <w:color w:val="000000"/>
                <w:sz w:val="14"/>
                <w:szCs w:val="18"/>
                <w:u w:val="double"/>
                <w:lang w:eastAsia="ru-RU" w:bidi="ru-RU"/>
              </w:rPr>
              <w:t xml:space="preserve"> 5,329,321</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1018"/>
                <w:tab w:val="left" w:pos="1044"/>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u w:val="double"/>
                <w:lang w:eastAsia="ru-RU" w:bidi="ru-RU"/>
              </w:rPr>
              <w:t>498,722,085</w:t>
            </w:r>
            <w:r w:rsidRPr="00743CE5">
              <w:rPr>
                <w:rFonts w:ascii="Tahoma" w:eastAsia="Times New Roman" w:hAnsi="Tahoma" w:cs="Tahoma"/>
                <w:color w:val="000000"/>
                <w:sz w:val="18"/>
                <w:szCs w:val="18"/>
                <w:lang w:eastAsia="ru-RU" w:bidi="ru-RU"/>
              </w:rPr>
              <w:tab/>
            </w:r>
          </w:p>
        </w:tc>
        <w:tc>
          <w:tcPr>
            <w:tcW w:w="1134" w:type="dxa"/>
          </w:tcPr>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b/>
                <w:bCs/>
                <w:color w:val="000000"/>
                <w:sz w:val="14"/>
                <w:szCs w:val="14"/>
                <w:u w:val="double"/>
                <w:lang w:eastAsia="ru-RU" w:bidi="ru-RU"/>
              </w:rPr>
            </w:pPr>
          </w:p>
          <w:p w:rsidR="00743CE5" w:rsidRPr="00743CE5" w:rsidRDefault="00743CE5" w:rsidP="00743CE5">
            <w:pPr>
              <w:widowControl w:val="0"/>
              <w:tabs>
                <w:tab w:val="right" w:pos="954"/>
                <w:tab w:val="left" w:pos="1202"/>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4"/>
                <w:szCs w:val="18"/>
                <w:u w:val="double"/>
                <w:lang w:eastAsia="ru-RU" w:bidi="ru-RU"/>
              </w:rPr>
              <w:t>1,570,867,736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w:t>
      </w:r>
      <w:r w:rsidRPr="00743CE5">
        <w:rPr>
          <w:rFonts w:ascii="Tahoma" w:eastAsia="Times New Roman" w:hAnsi="Tahoma" w:cs="Tahoma"/>
          <w:color w:val="000000"/>
          <w:sz w:val="18"/>
          <w:szCs w:val="18"/>
          <w:lang w:eastAsia="ru-RU" w:bidi="ru-RU"/>
        </w:rPr>
        <w:tab/>
        <w:t xml:space="preserve">Компании, не распределяющие 70% своей прибыли после налогообложения (как установлено Законом о специальном сборе на оборону Республики) к концу двухлетнего периода после окончания рассматриваемого года, к которому относится такая прибыль, будут рассматриваться как распределившие эту сумму в форме дивидендов. Специальный сбор на оборону по ставке 15% подлежит выплате с суммы указанного выше условного дивиденда в случае, если акционеры для условного распределения дивидендов по состоянию на конец двухлетнего периода после окончания рассматриваемого года, к которому относится такая прибыль, являются налоговыми резидентами Кипра. Ставка специального сбора на оборону повысилась до 17% в отношении прибыли за 2009 год и до 20% в отношении прибыли за 2010 и 2011 годы и была обратно снижена до 17% в отношении прибыли за 2012 год и далее. Сумма такого условного распределения дивидендов снижается на сумму дивидендов, фактически выплаченных из прибыли соответствующего года к концу двухлетнего периода после окончания рассматриваемого года, к которому относится такая прибыль. Данный специальный сбор на оборону Компании выплачивается за счет акционеров.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br w:type="page"/>
        <w:t xml:space="preserve">ОТЧЕТ О ДВИЖЕНИИ ДЕНЕЖНЫХ СРЕДСТВ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w:t>
      </w:r>
    </w:p>
    <w:tbl>
      <w:tblPr>
        <w:tblW w:w="9606" w:type="dxa"/>
        <w:tblLayout w:type="fixed"/>
        <w:tblLook w:val="0000" w:firstRow="0" w:lastRow="0" w:firstColumn="0" w:lastColumn="0" w:noHBand="0" w:noVBand="0"/>
      </w:tblPr>
      <w:tblGrid>
        <w:gridCol w:w="5495"/>
        <w:gridCol w:w="743"/>
        <w:gridCol w:w="1735"/>
        <w:gridCol w:w="1633"/>
      </w:tblGrid>
      <w:tr w:rsidR="00743CE5" w:rsidRPr="00743CE5" w:rsidTr="00743CE5">
        <w:trPr>
          <w:trHeight w:val="87"/>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735"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ОПЕРАЦИОННОЙ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(Убыток)/прибыль до налогообложения</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(121,913,048)</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304,290,995</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Корректировки </w:t>
            </w:r>
            <w:proofErr w:type="gramStart"/>
            <w:r w:rsidRPr="00743CE5">
              <w:rPr>
                <w:rFonts w:ascii="Tahoma" w:eastAsia="Times New Roman" w:hAnsi="Tahoma" w:cs="Tahoma"/>
                <w:color w:val="000000"/>
                <w:sz w:val="18"/>
                <w:szCs w:val="18"/>
                <w:lang w:eastAsia="ru-RU" w:bidi="ru-RU"/>
              </w:rPr>
              <w:t>на</w:t>
            </w:r>
            <w:proofErr w:type="gramEnd"/>
            <w:r w:rsidRPr="00743CE5">
              <w:rPr>
                <w:rFonts w:ascii="Tahoma" w:eastAsia="Times New Roman" w:hAnsi="Tahoma" w:cs="Tahoma"/>
                <w:color w:val="000000"/>
                <w:sz w:val="18"/>
                <w:szCs w:val="18"/>
                <w:lang w:eastAsia="ru-RU" w:bidi="ru-RU"/>
              </w:rPr>
              <w:t>:</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483"/>
        </w:trPr>
        <w:tc>
          <w:tcPr>
            <w:tcW w:w="5495" w:type="dxa"/>
          </w:tcPr>
          <w:p w:rsidR="00743CE5" w:rsidRPr="00743CE5" w:rsidRDefault="00743CE5" w:rsidP="00743CE5">
            <w:pPr>
              <w:widowControl w:val="0"/>
              <w:autoSpaceDE w:val="0"/>
              <w:autoSpaceDN w:val="0"/>
              <w:adjustRightInd w:val="0"/>
              <w:spacing w:after="0" w:line="240" w:lineRule="auto"/>
              <w:ind w:left="245" w:hanging="142"/>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расходы/(доходы) от выбытия финансовых активов, оцениваемых по справедливой стоимости, изменения которой отражаются в составе прибыли или убытка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15,118,055</w:t>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(3,209,345)</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(Прибыль)/убыток от изменения справедливой стоимости производных финансовых инструментов</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(5,473,917)</w:t>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4,132,420</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ind w:left="103" w:hanging="103"/>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Убыток/(прибыль)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340,531,740</w:t>
            </w:r>
          </w:p>
        </w:tc>
        <w:tc>
          <w:tcPr>
            <w:tcW w:w="1633" w:type="dxa"/>
          </w:tcPr>
          <w:p w:rsidR="00743CE5" w:rsidRPr="00743CE5" w:rsidRDefault="00743CE5" w:rsidP="00743CE5">
            <w:pPr>
              <w:widowControl w:val="0"/>
              <w:tabs>
                <w:tab w:val="left" w:pos="1383"/>
              </w:tabs>
              <w:autoSpaceDE w:val="0"/>
              <w:autoSpaceDN w:val="0"/>
              <w:adjustRightInd w:val="0"/>
              <w:spacing w:after="0" w:line="240" w:lineRule="auto"/>
              <w:ind w:right="34"/>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(332,558,264)</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Вознаграждение, основанное на акциях</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5,329,321</w:t>
            </w:r>
          </w:p>
        </w:tc>
        <w:tc>
          <w:tcPr>
            <w:tcW w:w="1633"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rPr>
          <w:trHeight w:val="223"/>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Доход по дивидендам</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(248,200,573)</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Процентные доходы</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(13,269,215)</w:t>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(27,412,512)</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Положительная/(отрицательная) курсовая разница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(3,865,151)</w:t>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2,692,090</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расходы</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27,640,555</w:t>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32,482,298</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214"/>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использованные в операционной деятельности до изменения оборотного капитала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(4,102,233)</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(19,582,318)</w:t>
            </w:r>
          </w:p>
        </w:tc>
      </w:tr>
      <w:tr w:rsidR="00743CE5" w:rsidRPr="00743CE5" w:rsidTr="00743CE5">
        <w:trPr>
          <w:trHeight w:val="160"/>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(Прирост)/уменьшение дебиторской задолженности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(31,161,325)</w:t>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40,379,885</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Уменьшение торговой и прочей кредиторской задолженности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163,559</w:t>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2,713,172</w:t>
            </w:r>
          </w:p>
        </w:tc>
      </w:tr>
      <w:tr w:rsidR="00743CE5" w:rsidRPr="00743CE5" w:rsidTr="00743CE5">
        <w:trPr>
          <w:trHeight w:val="178"/>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(использованные в), полученные от операционной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b/>
                <w:color w:val="000000"/>
                <w:sz w:val="18"/>
                <w:szCs w:val="18"/>
                <w:lang w:eastAsia="ru-RU" w:bidi="ru-RU"/>
              </w:rPr>
            </w:pPr>
          </w:p>
        </w:tc>
        <w:tc>
          <w:tcPr>
            <w:tcW w:w="1735"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(35,099,999)</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23,510,739</w:t>
            </w:r>
          </w:p>
        </w:tc>
      </w:tr>
      <w:tr w:rsidR="00743CE5" w:rsidRPr="00743CE5" w:rsidTr="00743CE5">
        <w:trPr>
          <w:trHeight w:val="25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Налоги уплаченные</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b/>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(655)</w:t>
            </w:r>
          </w:p>
        </w:tc>
        <w:tc>
          <w:tcPr>
            <w:tcW w:w="1633" w:type="dxa"/>
          </w:tcPr>
          <w:p w:rsidR="00743CE5" w:rsidRPr="00743CE5" w:rsidRDefault="00743CE5" w:rsidP="00743CE5">
            <w:pPr>
              <w:widowControl w:val="0"/>
              <w:tabs>
                <w:tab w:val="right" w:pos="1306"/>
                <w:tab w:val="left" w:pos="1332"/>
              </w:tabs>
              <w:autoSpaceDE w:val="0"/>
              <w:autoSpaceDN w:val="0"/>
              <w:adjustRightInd w:val="0"/>
              <w:spacing w:after="0" w:line="240" w:lineRule="auto"/>
              <w:ind w:right="90"/>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r>
      <w:tr w:rsidR="00743CE5" w:rsidRPr="00743CE5" w:rsidTr="00743CE5">
        <w:trPr>
          <w:trHeight w:val="252"/>
        </w:trPr>
        <w:tc>
          <w:tcPr>
            <w:tcW w:w="5495"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Чистые денежные средства (использованные в)/ полученные от операционной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b/>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(35,100,654)</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332"/>
              </w:tabs>
              <w:autoSpaceDE w:val="0"/>
              <w:autoSpaceDN w:val="0"/>
              <w:adjustRightInd w:val="0"/>
              <w:spacing w:after="0" w:line="240" w:lineRule="auto"/>
              <w:jc w:val="right"/>
              <w:rPr>
                <w:rFonts w:ascii="Tahoma" w:eastAsia="Times New Roman" w:hAnsi="Tahoma" w:cs="Tahoma"/>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 xml:space="preserve">     23,510,739</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ИНВЕСТИЦИОННОЙ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rPr>
          <w:trHeight w:val="483"/>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Оплата приобретенных финансовых активов, оцениваемых по справедливой стоимости, изменения которой отражаются в составе прибыли или убытка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(26,145,242)</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(131,040,877)</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выданные связанным сторонам</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(278,341,451)</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(222,634,168)</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Погашение займов выданных</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304,294,156</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90,980,748</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 от продажи финансовых активов, оцениваемых по справедливой стоимости, изменения которой отражаются в составе прибыли или убытка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89,158,466</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75,639,425</w:t>
            </w:r>
          </w:p>
        </w:tc>
      </w:tr>
      <w:tr w:rsidR="00743CE5" w:rsidRPr="00743CE5" w:rsidTr="00743CE5">
        <w:trPr>
          <w:trHeight w:val="483"/>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 полученные</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18,057,121</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17,373,475</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полученные</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703,530</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r>
      <w:tr w:rsidR="00743CE5" w:rsidRPr="00743CE5" w:rsidTr="00743CE5">
        <w:trPr>
          <w:trHeight w:val="223"/>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roofErr w:type="gramStart"/>
            <w:r w:rsidRPr="00743CE5">
              <w:rPr>
                <w:rFonts w:ascii="Tahoma" w:eastAsia="Times New Roman" w:hAnsi="Tahoma" w:cs="Tahoma"/>
                <w:b/>
                <w:color w:val="000000"/>
                <w:sz w:val="18"/>
                <w:szCs w:val="18"/>
                <w:lang w:eastAsia="ru-RU" w:bidi="ru-RU"/>
              </w:rPr>
              <w:t>Чистые денежные средства, полученные от/(использованные в) инвестиционной деятельности</w:t>
            </w:r>
            <w:proofErr w:type="gramEnd"/>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107,726,580</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 xml:space="preserve"> (169,681,397)</w:t>
            </w:r>
          </w:p>
        </w:tc>
      </w:tr>
      <w:tr w:rsidR="00743CE5" w:rsidRPr="00743CE5" w:rsidTr="00743CE5">
        <w:trPr>
          <w:trHeight w:val="87"/>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ФИНАНСОВОЙ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 от выпуска акций</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3,329,967</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заемных средств</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left" w:pos="1593"/>
              </w:tabs>
              <w:autoSpaceDE w:val="0"/>
              <w:autoSpaceDN w:val="0"/>
              <w:adjustRightInd w:val="0"/>
              <w:spacing w:after="0" w:line="240" w:lineRule="auto"/>
              <w:ind w:right="-74"/>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(275,184,522)</w:t>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(154,251,029)</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Поступление заемных средств</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284,642,672</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306,215,289</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расходы и прочие финансовые расходы</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(30,464,409)</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(14,812,124)</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уплаченные</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(52,556,210)</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(3,950,000)</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Чистые денежные потоки, (использованные в)/полученные от финансовой деятельности</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(73,562,469)</w:t>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136,532,103</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Чистое уменьшение денежных средств и их эквивалентов</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(936,543)</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(9,638,555)</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 на начало года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2,614,659</w:t>
            </w:r>
          </w:p>
        </w:tc>
        <w:tc>
          <w:tcPr>
            <w:tcW w:w="1633"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12,253,214</w:t>
            </w:r>
          </w:p>
        </w:tc>
      </w:tr>
      <w:tr w:rsidR="00743CE5" w:rsidRPr="00743CE5" w:rsidTr="00743CE5">
        <w:trPr>
          <w:trHeight w:val="242"/>
        </w:trPr>
        <w:tc>
          <w:tcPr>
            <w:tcW w:w="549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и их эквиваленты на конец года</w:t>
            </w:r>
          </w:p>
        </w:tc>
        <w:tc>
          <w:tcPr>
            <w:tcW w:w="743"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w:t>
            </w:r>
          </w:p>
        </w:tc>
        <w:tc>
          <w:tcPr>
            <w:tcW w:w="1735" w:type="dxa"/>
          </w:tcPr>
          <w:p w:rsidR="00743CE5" w:rsidRPr="00743CE5" w:rsidRDefault="00743CE5" w:rsidP="00743CE5">
            <w:pPr>
              <w:widowControl w:val="0"/>
              <w:tabs>
                <w:tab w:val="right" w:pos="1201"/>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1,678,116</w:t>
            </w:r>
            <w:r w:rsidRPr="00743CE5">
              <w:rPr>
                <w:rFonts w:ascii="Tahoma" w:eastAsia="Times New Roman" w:hAnsi="Tahoma" w:cs="Tahoma"/>
                <w:color w:val="000000"/>
                <w:sz w:val="18"/>
                <w:szCs w:val="18"/>
                <w:lang w:eastAsia="ru-RU" w:bidi="ru-RU"/>
              </w:rPr>
              <w:tab/>
            </w:r>
          </w:p>
        </w:tc>
        <w:tc>
          <w:tcPr>
            <w:tcW w:w="1633" w:type="dxa"/>
          </w:tcPr>
          <w:p w:rsidR="00743CE5" w:rsidRPr="00743CE5" w:rsidRDefault="00743CE5" w:rsidP="00743CE5">
            <w:pPr>
              <w:widowControl w:val="0"/>
              <w:tabs>
                <w:tab w:val="right" w:pos="1060"/>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 xml:space="preserve">      2,614,659</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6"/>
          <w:szCs w:val="6"/>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 xml:space="preserve">ОТЧЕТ О ДВИЖЕНИИ ДЕНЕЖНЫХ СРЕДСТВ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Неденежные операции: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 26 апреля 2012 года в рамках реструктуризации группы акции Компании в компаниях группы Discovery Russian Realty Paveletskaya Limited, Effusive Holdings Limited, Flybase Investments Limited, Celera Corporation и Paremos Limited были переведены в другую компанию группы Ratado Holdings Limited. Выплата за переведенные акции была произведена компанией Ratado Holdings Limited в виде выпуска дополнительных обыкновенных акций. Сумма к получению в размере 51,400 тысяч долларов США от Celera Corporation была также передана Ratado Holings Limited в качестве выплаты за эти акции.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 17 октября 2012 года Компания приобрела 100% в дочерних компаниях Hines DPIII Realty Limited (Cyprus), Hines DPIII Development Limited (Cyprus) и Tropical Sunset Holdings Inc. (British Virgin Islands) у компании, контролируемой Основным владельцем, за общую сумму 167,900 тысяч долларов США. Выплата за переведенные акции была произведена в виде выпуска 167,900 погашемых привилегированных акций.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31 мая 2013 года Компания приобрела 100% в дочернем предприятии White Estates у связанной стороны за 202 миллиона долларов США. Выплата была произведена в виде выпуска погашаемых привилегированных акций стоимостью 202 миллиона долларов США 6 июня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 15 июля 2013 года Компания подписалась на 135,370,430 обыкновенных акций Tropical Sunset Holdings Inc. по цене подписки 1.00 доллар США за акцию. Итоговая цена подписки составила 135,370 тысяч долларов США. Выплата за подписку была произведена через соглашение о взаимозачете; при этом сумма к выплате была взаимозачтена против соответствующей дебиторской задолженности.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 20 декабря 2013 года Компания подписалась на увеличение капитала дочернего предприятия Sabaton Holdings Limited на сумму 84,458,340 долларов США. Оплата была произведена посредством соглашения о взаимозачете дебиторской задолженности по займам от Gunilla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6. 31 октября 2013 года Компания заключила соглашение о взаимозачете и частично погасила следующую кредиторскую задолженность по займам: a) 47,386,633 рублей (включая основную сумму долга в размере 11,488,488 рублей плюс проценты в сумме 35,898,145 рублей) по займу от компании группы Krugozor Business Center (Cyprus) Limited, b) 122,257,018 рублей (включая основную сумму долга в размере 89,777,566 рублей плюс проценты в сумме</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32,479,452 рублей) по займу от компании группы Le Fortaco Limited, и c) 130,067,323 рублей (включая основную сумму долга в размере 107,519,691 рублей плюс проценты в сумме 22,547,632 рублей) по займу от компании группы Business Center Stanislavsky (Cyprus) Limited.</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7. 20 ноября 2013 года Компания передала часть следующей кредиторской задолженности по займам компании группы Sharezone Capital Limited: a) основную сумму долга в размере 1,023,750,000 рублей по займу от компании группы Krugozor Business Center (Cyprus) Limited, b) основную сумму долга в размере 1,097,000,000 рублей по займу от компании группы Le Fortaco Limited, c) основную сумму долга в размере 953,550,000 рублей</w:t>
      </w:r>
      <w:proofErr w:type="gramEnd"/>
      <w:r w:rsidRPr="00743CE5">
        <w:rPr>
          <w:rFonts w:ascii="Tahoma" w:eastAsia="Times New Roman" w:hAnsi="Tahoma" w:cs="Tahoma"/>
          <w:color w:val="000000"/>
          <w:sz w:val="18"/>
          <w:szCs w:val="18"/>
          <w:lang w:eastAsia="ru-RU" w:bidi="ru-RU"/>
        </w:rPr>
        <w:t xml:space="preserve"> по займу от компании группы Business Center Stanislavsky (Cyprus) Limited. Выплата за передачу кредиторской задолженности по займам была взаимозачтена против кредиторской задолженности, возникающей в результате дивидендов к выплате компании O1 Properties Limited, объявленных компанией Sharezone Capital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8. 31 декабря 2013 года Компания передала следующую кредиторскую задолженность по займам компании Sharezone Capital Limited: a) 31,194,489 рублей (включая основную сумму долга в размере 29,112,315 рублей плюс проценты в сумме 2,082,174 рублей) по займу от компании Krugozor Business Center (Cyprus) Limited. b) 59,571,102 рублей (включая основную сумму долга в размере 53,368,227 рублей плюс проценты в сумме 6,202,875 рублей) по</w:t>
      </w:r>
      <w:proofErr w:type="gramEnd"/>
      <w:r w:rsidRPr="00743CE5">
        <w:rPr>
          <w:rFonts w:ascii="Tahoma" w:eastAsia="Times New Roman" w:hAnsi="Tahoma" w:cs="Tahoma"/>
          <w:color w:val="000000"/>
          <w:sz w:val="18"/>
          <w:szCs w:val="18"/>
          <w:lang w:eastAsia="ru-RU" w:bidi="ru-RU"/>
        </w:rPr>
        <w:t xml:space="preserve"> займу от компании Le Fortaco Limited. c) 75,215,594 рублей (включая основную сумму долга в размере 74,237,306 рублей плюс проценты в сумме 978,287 рублей) по займу от компании Business Center Stanislavsky (Cyprus) Limited. Выплата за передачу кредиторской задолженности по займам была взаимозачтена против кредиторской задолженности, возникающей в результате дивидендов к выплате компании O1 Properties Limited, объявленных компанией Sharezone Capital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br w:type="page"/>
        <w:t xml:space="preserve">ОТЧЕТ О ДВИЖЕНИИ ДЕНЕЖНЫХ СРЕДСТВ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2013 г.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9. 31 декабря 2013 года Компания подписалась на 1,000 акций компании группы Xeroma Management Limited на общую сумму 8,825 тысяч долларов США. На эту же дату Компания подписала договор с компаниями группы Freyamoon Limited и Xeroma Management Limited о передаче Компании дебиторской задолженности от Freyamoon Limited в сумме 1,871 тысяча долларов США. Сумма к выплате по данному договору и по подписке, указанной выше, в размере 11,297 тысяч долларов США была взаимозачтена с дебиторской задолженностью по займам от Xeroma Management Limited. 31 декабря 2013 года Компания продала подписанные акции Xeroma Management третьей стороне Bellrun за 1,000 евро.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Данные неденежные операции не отражены в отчете о движении денежных средств.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77"/>
          <w:footerReference w:type="default" r:id="rId78"/>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 Регистрация и основная деятельность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Страна регистрации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Properties Limited (далее – «Компания») была учреждена на Кипре 24 августа 2010 года как частная компания с ограниченной ответственностью в соответствии с Законом о компаниях Кипра, Раздел 113.   Зарегистрированный офис Компании находится по адресу: 18 Spyrou Kyprianou, Office/flat 301, 1075 Nicosia, Cyprus.</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Изменение названия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43CE5">
        <w:rPr>
          <w:rFonts w:ascii="Tahoma" w:eastAsia="Times New Roman" w:hAnsi="Tahoma" w:cs="Tahoma"/>
          <w:color w:val="000000"/>
          <w:sz w:val="18"/>
          <w:szCs w:val="18"/>
          <w:lang w:eastAsia="ru-RU" w:bidi="ru-RU"/>
        </w:rPr>
        <w:t xml:space="preserve"> под названием 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Основная деятельность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Основной деятельностью Компании, которая не изменилась по сравнению с прошлым годом,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составляющие инвестиции в дочерние предприятия, которые работают на рынке недвижимости Российской Федерации.</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Операционный цикл Компании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spacing w:after="240" w:line="240" w:lineRule="auto"/>
        <w:jc w:val="both"/>
        <w:rPr>
          <w:rFonts w:ascii="Arial" w:eastAsia="Times New Roman" w:hAnsi="Arial" w:cs="Arial"/>
          <w:b/>
          <w:sz w:val="18"/>
          <w:szCs w:val="18"/>
          <w:lang w:eastAsia="ru-RU" w:bidi="ru-RU"/>
        </w:rPr>
      </w:pPr>
      <w:r w:rsidRPr="00743CE5">
        <w:rPr>
          <w:rFonts w:ascii="Arial" w:eastAsia="Times New Roman" w:hAnsi="Arial" w:cs="Times New Roman"/>
          <w:sz w:val="18"/>
          <w:szCs w:val="20"/>
          <w:lang w:eastAsia="ru-RU" w:bidi="ru-RU"/>
        </w:rPr>
        <w:t>Период оборачиваемости капитала Компании не превышает двенадцать месяцев.</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 Учетная политика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Основные принципы учетной политики, использованные при подготовке данной отдельной финансовой отчетности, представлены ниже. Данные принципы применялись последовательно в отношении всех периодов, представленных в настоящей отчетности, если не указано иное.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Основа подготовки финансовой отчетности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Данная финансовая отчетность подготовлена в соответствии с Международными стандартами финансовой отчетности (МСФО), принятыми Европейским Союзом (ЕС), и в соответствии с Законом о компаниях Кипра, Раздел 113. Данная финансовая отчетность подготовлена на основе правил учета по первоначальной стоимости, с поправкой на переоценку финансовых активов, имеющихся в наличии для продажи, производных финансовых инструментов и финансовых активов, оцениваемых по справедливой стоимости, изменения которой отражаются в составе прибыли или убытка.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подготовила настоящую отдельную финансовую отчетность материнской компании с целью соблюдения требований Закона Кипра о налоге на прибыль.</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также подготовила консолидированную финансовую отчетность в соответствии с МСФО по Компан</w:t>
      </w:r>
      <w:proofErr w:type="gramStart"/>
      <w:r w:rsidRPr="00743CE5">
        <w:rPr>
          <w:rFonts w:ascii="Tahoma" w:eastAsia="Times New Roman" w:hAnsi="Tahoma" w:cs="Tahoma"/>
          <w:color w:val="000000"/>
          <w:sz w:val="18"/>
          <w:szCs w:val="18"/>
          <w:lang w:eastAsia="ru-RU" w:bidi="ru-RU"/>
        </w:rPr>
        <w:t>ии и ее</w:t>
      </w:r>
      <w:proofErr w:type="gramEnd"/>
      <w:r w:rsidRPr="00743CE5">
        <w:rPr>
          <w:rFonts w:ascii="Tahoma" w:eastAsia="Times New Roman" w:hAnsi="Tahoma" w:cs="Tahoma"/>
          <w:color w:val="000000"/>
          <w:sz w:val="18"/>
          <w:szCs w:val="18"/>
          <w:lang w:eastAsia="ru-RU" w:bidi="ru-RU"/>
        </w:rPr>
        <w:t xml:space="preserve"> дочерним предприятиям (далее - «Группа»).  Консолидированная финансовая отчетность может быть получена в зарегистрированном офисе Компании по адресу: 18 Spyrou Kyprianou Avenue, Office/flat 301, 1075 Nicosia, Cyprus.</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Пользователи настоящей отдельной финансовой отчетности материнской компании должны читать ее вместе с консолидированной финансовой отчетностью Группы по состоянию на 31 декабря 2013 года и за год, закончившийся на эту дату, чтобы получить надлежащее понимание финансового положения, финансовых результатов и движения денежных средств Компании и Группы.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Основа подготовки финансовой отчетности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Подготовка финансовой отчетности по МСФО требует использования некоторых важных бухгалтерских оценок. Кроме того, руководству необходимо полагаться на свои профессиональные суждения при применении учетной политики Компании. Подготовка финансовой отчетности также требует использование допущений, которые влияют на отражаемые в отчетности суммы активов и обязательств на отчетную дату, а также на отражаемые в отчетности доходы и расходы в течение отчетного периода.  Несмотря на то, что такие оценки основаны на имеющейся у руководства информации о текущих событиях и операциях, фактические результаты в конечном итоге могут отличаться от этих оценок. Области, требующие применения профессиональных суждений более высокого уровня или связанные с особой сложностью, а также области, в которых допущения и оценки оказывают существенное влияние на финансовую отчетность, указаны в Примечании 4.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Переход на новые или пересмотренные стандарты и разъяснения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На дату утверждения отдельной финансовой отчетности Компании к выпуску все Международные стандарты финансовой отчетности, выпущенные Комитетом по МСФО (КМСФО), вступившие в силу на 1 января 2013 года, были приняты ЕС через процедуру, установленную Европейской комиссией, за исключением некоторых положений МСФО (IAS) 39 «Финансовые инструменты: признание и оценка», относящихся к учету хеджирования портфеля.</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2013 году Компания приняла все новые и пересмотренные Международные стандарты финансовой отчетности (МСФО), относящиеся к ее операционной деятельности и вступившие в силу для отчетных периодов, начинающихся 1 января 2013 года. Принятие этих стандартов не оказало существенного влияния на учетную политику Компании, за исключением МСФО (IFRS) 13 «Оценка справедливой стоимости», в соответствии с которым были необходимы дополнительные раскрытия по оценке справедливой стоимости, как представлено в Примечании 16.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дату утверждения финансовой отчетности Компании Советом по международным стандартам финансовой отчетности были выпущены следующие стандарты, которые, однако, еще не вступили в силу: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719"/>
        </w:tabs>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(i)</w:t>
      </w:r>
      <w:r w:rsidRPr="00743CE5">
        <w:rPr>
          <w:rFonts w:ascii="Tahoma" w:eastAsia="Times New Roman" w:hAnsi="Tahoma" w:cs="Tahoma"/>
          <w:color w:val="000000"/>
          <w:sz w:val="18"/>
          <w:szCs w:val="18"/>
          <w:lang w:eastAsia="ru-RU" w:bidi="ru-RU"/>
        </w:rPr>
        <w:tab/>
      </w:r>
      <w:proofErr w:type="gramStart"/>
      <w:r w:rsidRPr="00743CE5">
        <w:rPr>
          <w:rFonts w:ascii="Tahoma" w:eastAsia="Times New Roman" w:hAnsi="Tahoma" w:cs="Tahoma"/>
          <w:b/>
          <w:i/>
          <w:color w:val="000000"/>
          <w:sz w:val="18"/>
          <w:szCs w:val="18"/>
          <w:lang w:eastAsia="ru-RU" w:bidi="ru-RU"/>
        </w:rPr>
        <w:t>Принятые</w:t>
      </w:r>
      <w:proofErr w:type="gramEnd"/>
      <w:r w:rsidRPr="00743CE5">
        <w:rPr>
          <w:rFonts w:ascii="Tahoma" w:eastAsia="Times New Roman" w:hAnsi="Tahoma" w:cs="Tahoma"/>
          <w:b/>
          <w:i/>
          <w:color w:val="000000"/>
          <w:sz w:val="18"/>
          <w:szCs w:val="18"/>
          <w:lang w:eastAsia="ru-RU" w:bidi="ru-RU"/>
        </w:rPr>
        <w:t xml:space="preserve"> Европейским Союзом</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Новые стандарты</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jc w:val="both"/>
        <w:rPr>
          <w:rFonts w:ascii="Tahoma" w:eastAsia="Times New Roman" w:hAnsi="Tahoma" w:cs="Tahoma"/>
          <w:b/>
          <w:bCs/>
          <w:color w:val="000000"/>
          <w:sz w:val="18"/>
          <w:szCs w:val="18"/>
          <w:lang w:eastAsia="ru-RU" w:bidi="ru-RU"/>
        </w:rPr>
      </w:pPr>
      <w:r w:rsidRPr="00743CE5">
        <w:rPr>
          <w:rFonts w:ascii="Tahoma" w:eastAsia="Times New Roman" w:hAnsi="Tahoma" w:cs="Tahoma"/>
          <w:i/>
          <w:color w:val="000000"/>
          <w:sz w:val="18"/>
          <w:szCs w:val="18"/>
          <w:lang w:eastAsia="ru-RU" w:bidi="ru-RU"/>
        </w:rPr>
        <w:t>МСФО (IFRS) 10 «Консолидированная финансовая отчетность»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 </w:t>
      </w:r>
    </w:p>
    <w:tbl>
      <w:tblPr>
        <w:tblW w:w="0" w:type="auto"/>
        <w:tblInd w:w="39" w:type="dxa"/>
        <w:tblLayout w:type="fixed"/>
        <w:tblCellMar>
          <w:left w:w="39" w:type="dxa"/>
          <w:right w:w="39" w:type="dxa"/>
        </w:tblCellMar>
        <w:tblLook w:val="0000" w:firstRow="0" w:lastRow="0" w:firstColumn="0" w:lastColumn="0" w:noHBand="0" w:noVBand="0"/>
      </w:tblPr>
      <w:tblGrid>
        <w:gridCol w:w="9734"/>
      </w:tblGrid>
      <w:tr w:rsidR="00743CE5" w:rsidRPr="00743CE5" w:rsidTr="00743CE5">
        <w:tc>
          <w:tcPr>
            <w:tcW w:w="973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МСФО (IFRS) 11 «Совместная деятельность»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 </w:t>
            </w:r>
          </w:p>
        </w:tc>
      </w:tr>
      <w:tr w:rsidR="00743CE5" w:rsidRPr="00743CE5" w:rsidTr="00743CE5">
        <w:tc>
          <w:tcPr>
            <w:tcW w:w="973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МСФО (IFRS) 12 « Раскрытие информации о долях участия в других компаниях »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 </w:t>
            </w:r>
          </w:p>
        </w:tc>
      </w:tr>
      <w:tr w:rsidR="00743CE5" w:rsidRPr="00743CE5" w:rsidTr="00743CE5">
        <w:tc>
          <w:tcPr>
            <w:tcW w:w="973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МСФО (IAS) 27 «Отдельная финансовая отчетность» (</w:t>
            </w:r>
            <w:proofErr w:type="gramStart"/>
            <w:r w:rsidRPr="00743CE5">
              <w:rPr>
                <w:rFonts w:ascii="Tahoma" w:eastAsia="Times New Roman" w:hAnsi="Tahoma" w:cs="Tahoma"/>
                <w:i/>
                <w:color w:val="000000"/>
                <w:sz w:val="18"/>
                <w:szCs w:val="18"/>
                <w:lang w:eastAsia="ru-RU" w:bidi="ru-RU"/>
              </w:rPr>
              <w:t>пересмотрен</w:t>
            </w:r>
            <w:proofErr w:type="gramEnd"/>
            <w:r w:rsidRPr="00743CE5">
              <w:rPr>
                <w:rFonts w:ascii="Tahoma" w:eastAsia="Times New Roman" w:hAnsi="Tahoma" w:cs="Tahoma"/>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 </w:t>
            </w: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МСФО (IAS) 28 «Инвестиции в ассоциированные и совместные предприятия» (</w:t>
            </w:r>
            <w:proofErr w:type="gramStart"/>
            <w:r w:rsidRPr="00743CE5">
              <w:rPr>
                <w:rFonts w:ascii="Tahoma" w:eastAsia="Times New Roman" w:hAnsi="Tahoma" w:cs="Tahoma"/>
                <w:i/>
                <w:color w:val="000000"/>
                <w:sz w:val="18"/>
                <w:szCs w:val="18"/>
                <w:lang w:eastAsia="ru-RU" w:bidi="ru-RU"/>
              </w:rPr>
              <w:t>пересмотрен</w:t>
            </w:r>
            <w:proofErr w:type="gramEnd"/>
            <w:r w:rsidRPr="00743CE5">
              <w:rPr>
                <w:rFonts w:ascii="Tahoma" w:eastAsia="Times New Roman" w:hAnsi="Tahoma" w:cs="Tahoma"/>
                <w:i/>
                <w:color w:val="000000"/>
                <w:sz w:val="18"/>
                <w:szCs w:val="18"/>
                <w:lang w:eastAsia="ru-RU" w:bidi="ru-RU"/>
              </w:rPr>
              <w:t xml:space="preserve"> в мае 2011 года и вступает в силу для годовых периодов, начинающихся 1 января 2014 года или после этой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p>
        </w:tc>
      </w:tr>
      <w:tr w:rsidR="00743CE5" w:rsidRPr="00743CE5" w:rsidTr="00743CE5">
        <w:tc>
          <w:tcPr>
            <w:tcW w:w="973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Изменения</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color w:val="000000"/>
                <w:sz w:val="18"/>
                <w:szCs w:val="18"/>
                <w:lang w:eastAsia="ru-RU" w:bidi="ru-RU"/>
              </w:rPr>
              <w:t>«Взаимозачет финансовых активов и финансовых обязательств» - Поправки к МСФО (IAS) 32 (выпущены в декабре 2011 года и вступают в силу для годовых периодов, начинающихся 1 января 2014 года или после этой даты).</w:t>
            </w: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Изменения к руководству по переходным положениям, внесенные в МСФО (IFRS) 10, МСФО (IFRS) 11 и МСФО (IFRS) 12 (выпущены 28 июня 2012 года и вступают силу для годовых периодов, начинающихся 1 января 2014 года).</w:t>
            </w: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Изменения к МСФО (IFRS) 10, МСФО (IFRS) 12 и МСФО (IAS) 27 – «Инвестиционные предприятия» (выпущены 31 октября 2012 года и вступают в силу для годовых периодов, начинающихся 1 января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iCs/>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Изменения к МСФО (IAS) 36 - «Раскрытие информации о возмещаемой сумме для нефинансовых активов» (выпущены 29 мая 2013 года и вступают силу для годовых периодов, начинающихся 1 января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Переход на новые или пересмотренные стандарты и разъяснения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i/>
                <w:iCs/>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Изменения к МСФО (IAS) 39 - «Новация производных инструментов и продолжение учета хеджирования» (выпущены 27 июня 2013 года и вступают в силу 1 января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43CE5" w:rsidRPr="00743CE5" w:rsidTr="00743CE5">
        <w:tc>
          <w:tcPr>
            <w:tcW w:w="9734" w:type="dxa"/>
            <w:tcBorders>
              <w:top w:val="nil"/>
              <w:left w:val="nil"/>
              <w:bottom w:val="nil"/>
              <w:right w:val="nil"/>
            </w:tcBorders>
          </w:tcPr>
          <w:p w:rsidR="00743CE5" w:rsidRPr="00743CE5" w:rsidRDefault="00743CE5" w:rsidP="00743CE5">
            <w:pPr>
              <w:widowControl w:val="0"/>
              <w:tabs>
                <w:tab w:val="left" w:pos="720"/>
              </w:tabs>
              <w:autoSpaceDE w:val="0"/>
              <w:autoSpaceDN w:val="0"/>
              <w:adjustRightInd w:val="0"/>
              <w:spacing w:after="0" w:line="240" w:lineRule="auto"/>
              <w:jc w:val="both"/>
              <w:rPr>
                <w:rFonts w:ascii="Tahoma" w:eastAsia="Times New Roman" w:hAnsi="Tahoma" w:cs="Tahoma"/>
                <w:i/>
                <w:iCs/>
                <w:color w:val="000000"/>
                <w:sz w:val="18"/>
                <w:szCs w:val="18"/>
                <w:lang w:eastAsia="ru-RU" w:bidi="ru-RU"/>
              </w:rPr>
            </w:pPr>
            <w:r w:rsidRPr="00743CE5">
              <w:rPr>
                <w:rFonts w:ascii="Tahoma" w:eastAsia="Times New Roman" w:hAnsi="Tahoma" w:cs="Tahoma"/>
                <w:b/>
                <w:i/>
                <w:color w:val="000000"/>
                <w:sz w:val="18"/>
                <w:szCs w:val="18"/>
                <w:lang w:eastAsia="ru-RU" w:bidi="ru-RU"/>
              </w:rPr>
              <w:t>(ii)</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i/>
                <w:color w:val="000000"/>
                <w:sz w:val="18"/>
                <w:szCs w:val="18"/>
                <w:lang w:eastAsia="ru-RU" w:bidi="ru-RU"/>
              </w:rPr>
              <w:t xml:space="preserve">Не </w:t>
            </w:r>
            <w:proofErr w:type="gramStart"/>
            <w:r w:rsidRPr="00743CE5">
              <w:rPr>
                <w:rFonts w:ascii="Tahoma" w:eastAsia="Times New Roman" w:hAnsi="Tahoma" w:cs="Tahoma"/>
                <w:b/>
                <w:i/>
                <w:color w:val="000000"/>
                <w:sz w:val="18"/>
                <w:szCs w:val="18"/>
                <w:lang w:eastAsia="ru-RU" w:bidi="ru-RU"/>
              </w:rPr>
              <w:t>принятые</w:t>
            </w:r>
            <w:proofErr w:type="gramEnd"/>
            <w:r w:rsidRPr="00743CE5">
              <w:rPr>
                <w:rFonts w:ascii="Tahoma" w:eastAsia="Times New Roman" w:hAnsi="Tahoma" w:cs="Tahoma"/>
                <w:b/>
                <w:i/>
                <w:color w:val="000000"/>
                <w:sz w:val="18"/>
                <w:szCs w:val="18"/>
                <w:lang w:eastAsia="ru-RU" w:bidi="ru-RU"/>
              </w:rPr>
              <w:t xml:space="preserve"> Европейским Союзом</w:t>
            </w:r>
            <w:r w:rsidRPr="00743CE5">
              <w:rPr>
                <w:rFonts w:ascii="Tahoma" w:eastAsia="Times New Roman" w:hAnsi="Tahoma" w:cs="Tahoma"/>
                <w:i/>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bl>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43" w:type="dxa"/>
        <w:tblLayout w:type="fixed"/>
        <w:tblCellMar>
          <w:left w:w="43" w:type="dxa"/>
          <w:right w:w="43" w:type="dxa"/>
        </w:tblCellMar>
        <w:tblLook w:val="0000" w:firstRow="0" w:lastRow="0" w:firstColumn="0" w:lastColumn="0" w:noHBand="0" w:noVBand="0"/>
      </w:tblPr>
      <w:tblGrid>
        <w:gridCol w:w="9360"/>
      </w:tblGrid>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Новые стандарты</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(IFRS) 9 «Финансовые инструменты: классификация и оценка»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июле 2014 года и вступает силу с 1 января 2018 года). </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(IFRS) 14 «Отсроченные платежи по деятельности, осуществляемой по регулируемым тарифам»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январе 2014 года и вступает в силу для годовых периодов, начинающихся 1 января 2016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(IFRS) 15 «Выручка по договорам с клиентами» (</w:t>
            </w:r>
            <w:proofErr w:type="gramStart"/>
            <w:r w:rsidRPr="00743CE5">
              <w:rPr>
                <w:rFonts w:ascii="Tahoma" w:eastAsia="Times New Roman" w:hAnsi="Tahoma" w:cs="Tahoma"/>
                <w:i/>
                <w:color w:val="000000"/>
                <w:sz w:val="18"/>
                <w:szCs w:val="18"/>
                <w:lang w:eastAsia="ru-RU" w:bidi="ru-RU"/>
              </w:rPr>
              <w:t>выпущен</w:t>
            </w:r>
            <w:proofErr w:type="gramEnd"/>
            <w:r w:rsidRPr="00743CE5">
              <w:rPr>
                <w:rFonts w:ascii="Tahoma" w:eastAsia="Times New Roman" w:hAnsi="Tahoma" w:cs="Tahoma"/>
                <w:i/>
                <w:color w:val="000000"/>
                <w:sz w:val="18"/>
                <w:szCs w:val="18"/>
                <w:lang w:eastAsia="ru-RU" w:bidi="ru-RU"/>
              </w:rPr>
              <w:t xml:space="preserve"> в мае 2014 года и вступает силу для годовых периодов, начинающихся 1 января 2017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Изменения</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(IAS) 19 – «Пенсионные планы с установленными выплатами: взносы работников» (выпущены в ноябре 2013 года и вступают в силу для годовых периодов, начинающихся 1 июля 2014 года).</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Ежегодные усовершенствования</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Ежегодные усовершенствования МСФО, 2012 год (выпущены в декабре 2013 года и вступают в силу для годовых периодов, начинающихся 1 июля 2014 года или после этой даты, если не указано иное).</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Ежегодные усовершенствования МСФО, 2013 год (выпущены в декабре 2013 года и вступают в силу для годовых периодов, начинающихся 1 июля 2014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(IAS) 16 и МСФО (IAS) 38 - «Разъяснение приемлемых методов начисления амортизации основных средств и нематериальных активов» (выпущены в мае 2014 года и вступают в силу для годовых периодов, начинающихся 1 января 2016 года или после этой даты).</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(IFRS) 11 - «Учет сделок по приобретению долей участия в совместных операциях» (выпущены в мае 2014 года и вступают в силу для годовых периодов, начинающихся 1 января 2016 года или после этой даты).</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(IFRS) 10 и МСФО (IAS) 28 – «Продажа или взнос активов в ассоциированное или совместное предприятие инвестором» (выпущены 11 сентября 2014 года и вступают в силу для годовых периодов, начинающихся 1 января 2016 года).</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(IAS) 27 – «Метод долевого участия в отдельной финансовой отчетности» (выпущены 12 августа 2014 года и вступают в силу для годовых периодов, начинающихся 1 января 2016 года).</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 xml:space="preserve">Поправки к МСФО (IAS) 16 и </w:t>
            </w:r>
            <w:proofErr w:type="gramStart"/>
            <w:r w:rsidRPr="00743CE5">
              <w:rPr>
                <w:rFonts w:ascii="Tahoma" w:eastAsia="Times New Roman" w:hAnsi="Tahoma" w:cs="Tahoma"/>
                <w:i/>
                <w:color w:val="000000"/>
                <w:sz w:val="18"/>
                <w:szCs w:val="18"/>
                <w:lang w:eastAsia="ru-RU" w:bidi="ru-RU"/>
              </w:rPr>
              <w:t>и</w:t>
            </w:r>
            <w:proofErr w:type="gramEnd"/>
            <w:r w:rsidRPr="00743CE5">
              <w:rPr>
                <w:rFonts w:ascii="Tahoma" w:eastAsia="Times New Roman" w:hAnsi="Tahoma" w:cs="Tahoma"/>
                <w:i/>
                <w:color w:val="000000"/>
                <w:sz w:val="18"/>
                <w:szCs w:val="18"/>
                <w:lang w:eastAsia="ru-RU" w:bidi="ru-RU"/>
              </w:rPr>
              <w:t xml:space="preserve"> МСФО (IAS) 41 - «Сельское хозяйство: Растения, которыми владеет предприятие» (выпущены 30 июня 2014 года и вступают в силу для годовых периодов, начинающихся 1 января 2016 года).</w:t>
            </w:r>
          </w:p>
        </w:tc>
      </w:tr>
    </w:tbl>
    <w:p w:rsidR="00743CE5" w:rsidRPr="00743CE5" w:rsidRDefault="00743CE5" w:rsidP="00743CE5">
      <w:pPr>
        <w:keepNext/>
        <w:widowControl w:val="0"/>
        <w:autoSpaceDE w:val="0"/>
        <w:autoSpaceDN w:val="0"/>
        <w:adjustRightInd w:val="0"/>
        <w:spacing w:after="0" w:line="240" w:lineRule="auto"/>
        <w:rPr>
          <w:rFonts w:ascii="Arial" w:eastAsia="Times New Roman" w:hAnsi="Arial" w:cs="Arial"/>
          <w:b/>
          <w:bCs/>
          <w:color w:val="000000"/>
          <w:sz w:val="20"/>
          <w:szCs w:val="20"/>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В настоящее время Компания проводит оценку влияния новых учетных положений на отдельную финансовую отчетность.</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Инвестиции в дочерние предприятия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Дочерние предприятия представляют собой такие компании и другие организации (включая компании специального назначения), в которых Компании напрямую или косвенно принадлежит более половины голосующих акций, либо существует другая возможность контролировать их финансовую и операционную политику для получения экономических выгод. При оценке наличия контроля со стороны Компании в отношении другого юридического лица принимается во внимание наличие и влияние потенциальных прав голоса, которые в настоящее время могут быть представлены к исполнению или конвертации.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(i)</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Классификация: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классифицирует свои инвестиции в дочерние предприятия как финансовые активы, оцениваемые по справедливой стоимости, изменения которой отражаются в составе прибыли или убытка. Данные активы отражаются как долгосрочные, так как эти инвестиции удерживаются на долгосрочную перспективу, а не для торговли. Руководство определяет классификацию финансовых активов в момент их первоначального признания. Финансовые активы, классифицируемые как оцениваемые по справедливой стоимости, изменения которой отражаются в составе прибыли или убытка при первоначальном признании - это активы, управление которыми, а также оценка их эффективности осуществляются на основе справедливой стоимости в соответствии с документально закрепленной стратегией инвестирования Компании. Информация по справедливой стоимости этих финансовых активов представляется старшему руководящему персоналу Компании. Активы в данной категории классифицируются как краткосрочные, если они удерживаются для торговли или их предполагается реализовать в течение двенадцати месяцев с отчетной даты.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(ii)</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Признание и оценка: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Georgia" w:eastAsia="Times New Roman" w:hAnsi="Georgia" w:cs="Georgia"/>
          <w:color w:val="000000"/>
          <w:sz w:val="18"/>
          <w:szCs w:val="18"/>
          <w:lang w:eastAsia="ru-RU" w:bidi="ru-RU"/>
        </w:rPr>
      </w:pPr>
      <w:r w:rsidRPr="00743CE5">
        <w:rPr>
          <w:rFonts w:ascii="Tahoma" w:eastAsia="Times New Roman" w:hAnsi="Tahoma" w:cs="Tahoma"/>
          <w:color w:val="000000"/>
          <w:sz w:val="18"/>
          <w:szCs w:val="18"/>
          <w:lang w:eastAsia="ru-RU" w:bidi="ru-RU"/>
        </w:rPr>
        <w:t>Стандартные сделки по покупке и продаже финансовых активов признаются на дату совершения операции, то есть на дату, когда Компания принимает на себя обязательство купить или продать финансовые активы. Финансовые активы, оцениваемые по справедливой стоимости, изменения которой отражаются в составе прибыли или убытка, первоначально признаются по справедливой стоимости, а затраты по сделке относятся в отчет о совокупном доходе. Компания прекращает признание финансовых активов, когда истек период действия прав на получение потоков денежных средств от финансовых активов или они были переданы, и Компания в основном передала все риски и выгоды, связанные с правом собственности на них. Финансовые активы, оцениваемые по справедливой стоимости, изменения которой отражаются в составе прибыли или убытка, впоследствии отражаются по справедливой стоимости. Доходы и расходы, связанные с изменением справедливой стоимости финансовых активов, оцениваемых по справедливой стоимости, изменения которой отражаются в составе прибыли или убытка, представлены в отчете о совокупном доходе в том периоде, в котором они возникают. Дивидендный доход по финансовым активам, оцениваемым по справедливой стоимости, изменения которой отражаются в составе прибыли или убытка, отражается в отчете о совокупном доходе в составе дохода по дивидендам в момент установления права Компании на получение выплат. Если Компания осуществляет реструктуризацию группы, в результате которой появляется новая холдинговая компания-посредник, с передачей удерживаемых ранее дочерних предприятий новой холдинговой компании-посреднику в обмен за выпуск акций новой холдинговой компанией-посредником, Компания определяет первоначальную справедливую стоимость новой холдинговой компании-посредника на основе справедливой стоимости переданных дочерних предприятий на дату передачи.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Ассоциированные предприятия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Ассоциированными являются все предприятия, на которые Компания оказывает значительное влияние, но при этом не имеет контроля над ними; в таких предприятиях Компания обычно владеет от 20% до 50% голосующих акций. Инвестиции в ассоциированные предприятия оцениваются по фактической стоимости за вычетом обесценения.  Инвестиции в ассоциированные предприятия проверяются на наличие обесценения, если какие-либо события или изменения свидетельствуют о том, что балансовая стоимость, возможно, не будет возмещена. Убыток от обесценения признается в составе прибыли или убытка в отношении суммы, на которую балансовая стоимость актива превышает его возмещаемую стоимость.  Возмещаемая стоимость определяется как наибольшая из справедливой стоимости актива за вычетом затрат на продажу и стоимости, получаемой в результате полезного использования. Убыток от обесценения, признанный в прошлые отчетные периоды, восстанавливается (при необходимости), если произошло изменение расчетных оценок, использованных при определении возмещаемой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Признание выручки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Выручка, полученная Компанией, признается следующим образом:</w:t>
      </w:r>
    </w:p>
    <w:p w:rsidR="00743CE5" w:rsidRPr="00743CE5" w:rsidRDefault="00743CE5" w:rsidP="00743CE5">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Процентные доходы </w:t>
      </w:r>
    </w:p>
    <w:p w:rsidR="00743CE5" w:rsidRPr="00743CE5" w:rsidRDefault="00743CE5" w:rsidP="00743CE5">
      <w:pPr>
        <w:widowControl w:val="0"/>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признаются пропорционально в течение времени финансирования с использованием метода эффективной ставки процента.</w:t>
      </w:r>
    </w:p>
    <w:p w:rsidR="00743CE5" w:rsidRPr="00743CE5" w:rsidRDefault="00743CE5" w:rsidP="00743CE5">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Доход по дивидендам</w:t>
      </w:r>
      <w:r w:rsidRPr="00743CE5">
        <w:rPr>
          <w:rFonts w:ascii="Tahoma" w:eastAsia="Times New Roman" w:hAnsi="Tahoma" w:cs="Tahoma"/>
          <w:bCs/>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признаются, когда установлено право Компании на получение платежа.</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Финансовые расходы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расходы и прочие затраты по заемным средствам, полученным для финансирования строительства или производства квалифицируемых активов, капитализируются в течение периода, необходимого для завершения строительства и подготовки объекта для предполагаемого использования. Все прочие затраты по займам относятся на расходы.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Пересчет иностранной валюты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849"/>
        <w:gridCol w:w="8511"/>
      </w:tblGrid>
      <w:tr w:rsidR="00743CE5" w:rsidRPr="00743CE5" w:rsidTr="00743CE5">
        <w:tc>
          <w:tcPr>
            <w:tcW w:w="849"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(1)</w:t>
            </w:r>
          </w:p>
        </w:tc>
        <w:tc>
          <w:tcPr>
            <w:tcW w:w="8511"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bCs/>
                <w:i/>
                <w:color w:val="000000"/>
                <w:sz w:val="18"/>
                <w:szCs w:val="18"/>
                <w:u w:val="single"/>
                <w:lang w:eastAsia="ru-RU" w:bidi="ru-RU"/>
              </w:rPr>
              <w:t>Функциональная валюта и валюта представления отчетности</w:t>
            </w:r>
          </w:p>
        </w:tc>
      </w:tr>
      <w:tr w:rsidR="00743CE5" w:rsidRPr="00743CE5" w:rsidTr="00743CE5">
        <w:tc>
          <w:tcPr>
            <w:tcW w:w="849"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85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Статьи, включенные в финансовую отчетность Компании, оцениваются в валюте основной экономической среды, в которой предприятие осуществляет свою деятельность («функциональная валюта»). Данная финансовая отчетность представлена в долларах США - функциональной валюте и валюте представления отчетности Компании.</w:t>
            </w:r>
          </w:p>
        </w:tc>
      </w:tr>
      <w:tr w:rsidR="00743CE5" w:rsidRPr="00743CE5" w:rsidTr="00743CE5">
        <w:tc>
          <w:tcPr>
            <w:tcW w:w="849"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(2)</w:t>
            </w:r>
          </w:p>
        </w:tc>
        <w:tc>
          <w:tcPr>
            <w:tcW w:w="8511"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bCs/>
                <w:i/>
                <w:color w:val="000000"/>
                <w:sz w:val="18"/>
                <w:szCs w:val="18"/>
                <w:u w:val="single"/>
                <w:lang w:eastAsia="ru-RU" w:bidi="ru-RU"/>
              </w:rPr>
              <w:t>Операции и остатки</w:t>
            </w:r>
          </w:p>
        </w:tc>
      </w:tr>
      <w:tr w:rsidR="00743CE5" w:rsidRPr="00743CE5" w:rsidTr="00743CE5">
        <w:tc>
          <w:tcPr>
            <w:tcW w:w="849"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5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Операции в иностранной валюте пересчитываются в функциональную валюту на основании обменного курса на дату осуществления операции. </w:t>
            </w:r>
            <w:proofErr w:type="gramStart"/>
            <w:r w:rsidRPr="00743CE5">
              <w:rPr>
                <w:rFonts w:ascii="Tahoma" w:eastAsia="Times New Roman" w:hAnsi="Tahoma" w:cs="Tahoma"/>
                <w:color w:val="000000"/>
                <w:sz w:val="18"/>
                <w:szCs w:val="18"/>
                <w:lang w:eastAsia="ru-RU" w:bidi="ru-RU"/>
              </w:rPr>
              <w:t>Прибыли или убытки от курсовых разниц, возникающие при осуществлении расчетов и пересчете денежных активов и обязательств, выраженных в иностранной валюте, по обменному курсу на конец года отражаются в составе прибыли или убытка.</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Курсовые разницы по инвестициям в долевые инструменты, имеющимся в наличии для продажи, отражаются в составе прочего совокупного дохода.</w:t>
            </w:r>
            <w:proofErr w:type="gramEnd"/>
          </w:p>
        </w:tc>
      </w:tr>
    </w:tbl>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Текущие и отложенные налоги </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Расход по налогу за год состоит из текущего и отложенного налога на прибыль. Налог на прибыль отражается в составе прибыли или убытка, за исключением сумм, относящихся к статьям, отражаемым в прочем совокупном доходе или непосредственно в составе капитала. В </w:t>
      </w:r>
      <w:proofErr w:type="gramStart"/>
      <w:r w:rsidRPr="00743CE5">
        <w:rPr>
          <w:rFonts w:ascii="Tahoma" w:eastAsia="Times New Roman" w:hAnsi="Tahoma" w:cs="Tahoma"/>
          <w:color w:val="000000"/>
          <w:sz w:val="18"/>
          <w:szCs w:val="18"/>
          <w:lang w:eastAsia="ru-RU" w:bidi="ru-RU"/>
        </w:rPr>
        <w:t>этом</w:t>
      </w:r>
      <w:proofErr w:type="gramEnd"/>
      <w:r w:rsidRPr="00743CE5">
        <w:rPr>
          <w:rFonts w:ascii="Tahoma" w:eastAsia="Times New Roman" w:hAnsi="Tahoma" w:cs="Tahoma"/>
          <w:color w:val="000000"/>
          <w:sz w:val="18"/>
          <w:szCs w:val="18"/>
          <w:lang w:eastAsia="ru-RU" w:bidi="ru-RU"/>
        </w:rPr>
        <w:t xml:space="preserve"> случае налог также признается в прочем совокупном доходе или непосредственно в составе капитала соответственно.</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 рассчитывается на основе налогового законодательства, действующего или по существу вступившего в силу на отчетную дату в стране, в которой Компания осуществляет свою деятельность и получает налогооблагаемую прибыль. Руководство периодически оценивает позиции в налоговых декларациях относительно ситуаций, в которых применимые положения налогового законодательства допускают возможность разных толкований. Если применимые положения налогового законодательства допускают возможность разных толкований, руководство формирует в необходимых случаях резерв на основе сумм, ожидаемых к уплате налоговым органам.</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Отложенный налог на прибыль определяется </w:t>
      </w:r>
      <w:proofErr w:type="gramStart"/>
      <w:r w:rsidRPr="00743CE5">
        <w:rPr>
          <w:rFonts w:ascii="Tahoma" w:eastAsia="Times New Roman" w:hAnsi="Tahoma" w:cs="Tahoma"/>
          <w:color w:val="000000"/>
          <w:sz w:val="18"/>
          <w:szCs w:val="18"/>
          <w:lang w:eastAsia="ru-RU" w:bidi="ru-RU"/>
        </w:rPr>
        <w:t>по</w:t>
      </w:r>
      <w:proofErr w:type="gramEnd"/>
      <w:r w:rsidRPr="00743CE5">
        <w:rPr>
          <w:rFonts w:ascii="Tahoma" w:eastAsia="Times New Roman" w:hAnsi="Tahoma" w:cs="Tahoma"/>
          <w:color w:val="000000"/>
          <w:sz w:val="18"/>
          <w:szCs w:val="18"/>
          <w:lang w:eastAsia="ru-RU" w:bidi="ru-RU"/>
        </w:rPr>
        <w:t xml:space="preserve"> временным разницам между налоговой базой активов и обязательств и их балансовой суммой в финансовой отчетности с использованием метода обязательств. Однако отложенный налог не признается в отношении </w:t>
      </w:r>
      <w:proofErr w:type="gramStart"/>
      <w:r w:rsidRPr="00743CE5">
        <w:rPr>
          <w:rFonts w:ascii="Tahoma" w:eastAsia="Times New Roman" w:hAnsi="Tahoma" w:cs="Tahoma"/>
          <w:color w:val="000000"/>
          <w:sz w:val="18"/>
          <w:szCs w:val="18"/>
          <w:lang w:eastAsia="ru-RU" w:bidi="ru-RU"/>
        </w:rPr>
        <w:t>временных</w:t>
      </w:r>
      <w:proofErr w:type="gramEnd"/>
      <w:r w:rsidRPr="00743CE5">
        <w:rPr>
          <w:rFonts w:ascii="Tahoma" w:eastAsia="Times New Roman" w:hAnsi="Tahoma" w:cs="Tahoma"/>
          <w:color w:val="000000"/>
          <w:sz w:val="18"/>
          <w:szCs w:val="18"/>
          <w:lang w:eastAsia="ru-RU" w:bidi="ru-RU"/>
        </w:rPr>
        <w:t xml:space="preserve"> разниц, возникающих при первоначальном признании актива или обязательства по операциям, не являющимся объединением бизнеса, если таковые на дату операции не оказывают влияния ни на бухгалтерскую, ни на налогооблагаемую прибыль или убыток. Отложенный налог на прибыль рассчитывается в соответствии с налоговыми ставками и положениями законодательства, действующими или по существу вступившими в силу на отчетную дату, применение </w:t>
      </w:r>
      <w:proofErr w:type="gramStart"/>
      <w:r w:rsidRPr="00743CE5">
        <w:rPr>
          <w:rFonts w:ascii="Tahoma" w:eastAsia="Times New Roman" w:hAnsi="Tahoma" w:cs="Tahoma"/>
          <w:color w:val="000000"/>
          <w:sz w:val="18"/>
          <w:szCs w:val="18"/>
          <w:lang w:eastAsia="ru-RU" w:bidi="ru-RU"/>
        </w:rPr>
        <w:t>которых</w:t>
      </w:r>
      <w:proofErr w:type="gramEnd"/>
      <w:r w:rsidRPr="00743CE5">
        <w:rPr>
          <w:rFonts w:ascii="Tahoma" w:eastAsia="Times New Roman" w:hAnsi="Tahoma" w:cs="Tahoma"/>
          <w:color w:val="000000"/>
          <w:sz w:val="18"/>
          <w:szCs w:val="18"/>
          <w:lang w:eastAsia="ru-RU" w:bidi="ru-RU"/>
        </w:rPr>
        <w:t xml:space="preserve"> ожидается при реализации соответствующего налогового отложенного актива или при погашении соответствующего отложенного налогового обязательства.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Текущие и отложенные налоги (продолжение)</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Отложенные налоговые активы признаются тогда, когда существует вероятность получения налогооблагаемой прибыли, против которой могут быть использованы временные разницы.</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Зачет отложенных активов и обязательств по налогу на прибыль возможен, когда в законодательстве предусмотрено право зачета текущих налоговых активов и обязательств, и когда активы и обязательства по отложенному налогу на прибыль относятся к налогам, начисленным одним и тем же налоговым органом, при том, что существует намерение произвести расчеты путем взаимозачета.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Дивиденды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дивидендов акционерам Компании признается как обязательство в финансовой отчетности Компании в том году, в котором дивиденды надлежащим образом утверждаются, и уже не являются выплачиваемыми по усмотрению Компании. А именно: промежуточные дивиденды отражаются как обязательство в том периоде, в котором они утверждены Советом директоров, а окончательные дивиденды признаются в том периоде, в котором они утверждены акционерами Компании.</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Финансовые инструменты</w:t>
      </w:r>
      <w:r w:rsidRPr="00743CE5">
        <w:rPr>
          <w:rFonts w:ascii="Tahoma" w:eastAsia="Times New Roman" w:hAnsi="Tahoma" w:cs="Tahoma"/>
          <w:bCs/>
          <w:color w:val="000000"/>
          <w:sz w:val="18"/>
          <w:szCs w:val="18"/>
          <w:lang w:eastAsia="ru-RU" w:bidi="ru-RU"/>
        </w:rPr>
        <w:t xml:space="preserve">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 финансовые обязательства отражаются в отчете о финансовом положении, когда Компания вступает в договорные отношения, предметом которых являются указанные финансовые инструменты.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Торговая дебиторская задолженность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 первоначальном признании торговая дебиторская задолженность отражается по справедливой стоимости, впоследствии - по амортизированной стоимости с использованием метода эффективной ставки процента. При наличии объективного доказательства обесценения актива в прибыли или убытке признаются соответствующие резервы по расчетной возмещаемой стоимости. Отраженный резерв представляет собой разницу между балансовой стоимостью актива и приведенной стоимостью ожидаемых потоков денежных средств, рассчитанной путем дисконтирования по первоначальной эффективной ставке процента.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Займы выданные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Займы, выданные Компанией в виде денежных средств непосредственно заемщику, первоначально учитываются по справедливой стоимости плюс понесенные затраты по сделке. Эта сумма определяется как справедливая стоимость </w:t>
      </w:r>
      <w:proofErr w:type="gramStart"/>
      <w:r w:rsidRPr="00743CE5">
        <w:rPr>
          <w:rFonts w:ascii="Tahoma" w:eastAsia="Times New Roman" w:hAnsi="Tahoma" w:cs="Tahoma"/>
          <w:color w:val="000000"/>
          <w:sz w:val="18"/>
          <w:szCs w:val="18"/>
          <w:lang w:eastAsia="ru-RU" w:bidi="ru-RU"/>
        </w:rPr>
        <w:t>ресурсов, предоставленных для выдачи таких займов и оценивается</w:t>
      </w:r>
      <w:proofErr w:type="gramEnd"/>
      <w:r w:rsidRPr="00743CE5">
        <w:rPr>
          <w:rFonts w:ascii="Tahoma" w:eastAsia="Times New Roman" w:hAnsi="Tahoma" w:cs="Tahoma"/>
          <w:color w:val="000000"/>
          <w:sz w:val="18"/>
          <w:szCs w:val="18"/>
          <w:lang w:eastAsia="ru-RU" w:bidi="ru-RU"/>
        </w:rPr>
        <w:t xml:space="preserve"> на основе рыночной цены на дату выдачи займа. Предоставленные займы отражаются, начиная с момента выдачи денежных средств заемщикам. После первоначального признания займы и дебиторская задолженность учитываются по амортизированной стоимости, рассчитанной с использованием метода эффективной ставки процента.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Резерв под обесценение займов формируется при наличии объективных данных, свидетельствующих о том, что Компания не сможет получить все суммы, причитающиеся к выплате в соответствии с первоначальными условиями соглашения. Сумма резерва представляет собой разницу между балансовой и возмещаемой стоимостью займа, являясь приведенной стоимостью ожидаемых денежных потоков, включая суммы, возмещаемые гарантиями и обеспечением, дисконтированные с использованием первоначальной эффективной процентной ставке.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Инвестиции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классифицирует инвестиции в долевые и долговые ценные бумаги по следующим категориям: финансовые активы, оцениваемые по справедливой стоимости, изменения которой отражаются в составе прибыли или убытка, займы и дебиторская задолженность и финансовые активы, имеющиеся в наличии для продажи. Классификация зависит от цели приобретения этих инвестиций. Руководство определяет классификацию инвестиций при первоначальном признании и пересматривает ее на каждую отчетную дату.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инструменты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Инвестиции (продолжение)</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Финансовые активы, оцениваемые по справедливой стоимости, изменения которой отражаются в составе прибыли или убытка.</w:t>
      </w:r>
    </w:p>
    <w:p w:rsidR="00743CE5" w:rsidRPr="00743CE5" w:rsidRDefault="00743CE5" w:rsidP="00743CE5">
      <w:pPr>
        <w:keepLines/>
        <w:widowControl w:val="0"/>
        <w:autoSpaceDE w:val="0"/>
        <w:autoSpaceDN w:val="0"/>
        <w:adjustRightInd w:val="0"/>
        <w:spacing w:after="0" w:line="240" w:lineRule="auto"/>
        <w:ind w:left="680"/>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Эта категория подразделяется на две подкатегории: финансовые активы, предназначенные для торговли, и финансовые активы, оцениваемые по справедливой стоимости, изменения которой отражаются в составе прибыли или убытка при первоначальном признании. Финансовый актив относится к подкатегории предназначенных для торговли, если он приобретен в основном для генерирования прибыли за счет краткосрочных колебаний цены. Финансовые активы, классифицируемые как оцениваемые по справедливой стоимости, изменения которой отражаются в составе прибыли или убытка при первоначальном признании - это активы, управление которыми, а также оценка их эффективности осуществляются на основе справедливой стоимости в соответствии с документально закрепленной стратегией инвестирования Компании. Информация по справедливой стоимости этих финансовых активов представляется старшему руководящему персоналу Компании. Активы в данной категории классифицируются как текущие активы, если они удерживаются для торговли или их предполагается реализовать в течение двенадцати месяцев с отчетной даты.</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tabs>
          <w:tab w:val="left" w:pos="1440"/>
        </w:tabs>
        <w:autoSpaceDE w:val="0"/>
        <w:autoSpaceDN w:val="0"/>
        <w:adjustRightInd w:val="0"/>
        <w:spacing w:after="0" w:line="240" w:lineRule="atLeast"/>
        <w:ind w:left="720" w:hanging="720"/>
        <w:rPr>
          <w:rFonts w:ascii="Tahoma" w:eastAsia="Times New Roman" w:hAnsi="Tahoma" w:cs="Tahoma"/>
          <w:color w:val="000000"/>
          <w:sz w:val="18"/>
          <w:szCs w:val="18"/>
          <w:u w:val="single"/>
          <w:lang w:eastAsia="ru-RU" w:bidi="ru-RU"/>
        </w:rPr>
      </w:pPr>
      <w:r w:rsidRPr="00743CE5">
        <w:rPr>
          <w:rFonts w:ascii="Tahoma" w:eastAsia="Times New Roman" w:hAnsi="Tahoma" w:cs="Arial"/>
          <w:color w:val="000000"/>
          <w:sz w:val="18"/>
          <w:u w:val="single"/>
          <w:lang w:eastAsia="ru-RU" w:bidi="ru-RU"/>
        </w:rPr>
        <w:t>Займы и дебиторская задолженность</w:t>
      </w:r>
    </w:p>
    <w:p w:rsidR="00743CE5" w:rsidRPr="00743CE5" w:rsidRDefault="00743CE5" w:rsidP="00743CE5">
      <w:pPr>
        <w:widowControl w:val="0"/>
        <w:tabs>
          <w:tab w:val="left" w:pos="1440"/>
        </w:tabs>
        <w:autoSpaceDE w:val="0"/>
        <w:autoSpaceDN w:val="0"/>
        <w:adjustRightInd w:val="0"/>
        <w:spacing w:after="0" w:line="240" w:lineRule="atLeast"/>
        <w:ind w:left="1440" w:hanging="720"/>
        <w:rPr>
          <w:rFonts w:ascii="Arial" w:eastAsia="Times New Roman" w:hAnsi="Arial" w:cs="Arial"/>
          <w:color w:val="000000"/>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Займы и дебиторская задолженность являются непроизводными финансовыми активами с фиксированными или определяемыми платежами, не имеющими котировок на активном рынке, и в отношении которых отсутствует намерение осуществлять торговые операции. Эти статьи включаются в состав краткосрочных активов, за исключением имеющих сроки погашения более чем 12 месяцев после отчетной даты.  Данные активы классифицируются как долгосрочные активы. Займы и дебиторская задолженность Компании представлены в отчете о финансовом положении дебиторской задолженностью, денежными средствами и их эквивалентами, а также дебиторской задолженностью по займам.</w:t>
      </w:r>
    </w:p>
    <w:p w:rsidR="00743CE5" w:rsidRPr="00743CE5" w:rsidRDefault="00743CE5" w:rsidP="00743CE5">
      <w:pPr>
        <w:widowControl w:val="0"/>
        <w:autoSpaceDE w:val="0"/>
        <w:autoSpaceDN w:val="0"/>
        <w:adjustRightInd w:val="0"/>
        <w:spacing w:after="0" w:line="240" w:lineRule="auto"/>
        <w:ind w:left="680"/>
        <w:rPr>
          <w:rFonts w:ascii="Tahoma" w:eastAsia="Times New Roman" w:hAnsi="Tahoma" w:cs="Tahoma"/>
          <w:color w:val="000000"/>
          <w:sz w:val="18"/>
          <w:szCs w:val="18"/>
          <w:u w:val="single"/>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Финансовые активы, имеющиеся в наличии для продажи</w:t>
      </w:r>
    </w:p>
    <w:p w:rsidR="00743CE5" w:rsidRPr="00743CE5" w:rsidRDefault="00743CE5" w:rsidP="00743CE5">
      <w:pPr>
        <w:widowControl w:val="0"/>
        <w:autoSpaceDE w:val="0"/>
        <w:autoSpaceDN w:val="0"/>
        <w:adjustRightInd w:val="0"/>
        <w:spacing w:after="0" w:line="240" w:lineRule="atLeast"/>
        <w:ind w:left="1440" w:hanging="720"/>
        <w:rPr>
          <w:rFonts w:ascii="Arial" w:eastAsia="Times New Roman" w:hAnsi="Arial" w:cs="Arial"/>
          <w:color w:val="000000"/>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Arial"/>
          <w:color w:val="000000"/>
          <w:sz w:val="18"/>
          <w:lang w:eastAsia="ru-RU" w:bidi="ru-RU"/>
        </w:rPr>
        <w:t>Финансовые активы, имеющиеся в наличии для продажи, являются непроизводными финансовыми инструментами, отнесенными к этой категории, или не отнесенными ни к одной из прочих категорий.  Они включаются в состав долгосрочных активов, за исключением случаев, когда срок инвестиции истекает или руководство имеет намерение реализовать их в течение двенадцати месяцев с отчетной даты.</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Стандартные сделки по покупке и продаже инвестиций признаются на дату совершения операции, то есть на дату, когда Компания принимает на себя обязательство купить или продать актив. Инвестиции первоначально отражаются по справедливой стоимости плюс затраты по сделке за исключением финансовых активов, оцениваемых по справедливой стоимости, изменения которой отражаются в составе прибыли или убытка. Компания прекращает признание инвестиций, когда истек период действия прав на получение потоков денежных средств от инвестиций или они были переданы, и Компания в основном передала все риски и выгоды, связанные с правом собственности на них.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имеющиеся в наличии для продажи, и финансовые активы, оцениваемые по справедливой стоимости, изменения которой отражаются в составе прибыли или убытка, впоследствии отражаются по справедливой стоимости. Займы и дебиторская задолженность отражаются по амортизированной стоимости с использованием метода эффективной ставки процента. </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Реализованные и нереализованные </w:t>
      </w:r>
      <w:proofErr w:type="gramStart"/>
      <w:r w:rsidRPr="00743CE5">
        <w:rPr>
          <w:rFonts w:ascii="Tahoma" w:eastAsia="Times New Roman" w:hAnsi="Tahoma" w:cs="Tahoma"/>
          <w:color w:val="000000"/>
          <w:sz w:val="18"/>
          <w:szCs w:val="18"/>
          <w:lang w:eastAsia="ru-RU" w:bidi="ru-RU"/>
        </w:rPr>
        <w:t>доходы</w:t>
      </w:r>
      <w:proofErr w:type="gramEnd"/>
      <w:r w:rsidRPr="00743CE5">
        <w:rPr>
          <w:rFonts w:ascii="Tahoma" w:eastAsia="Times New Roman" w:hAnsi="Tahoma" w:cs="Tahoma"/>
          <w:color w:val="000000"/>
          <w:sz w:val="18"/>
          <w:szCs w:val="18"/>
          <w:lang w:eastAsia="ru-RU" w:bidi="ru-RU"/>
        </w:rPr>
        <w:t xml:space="preserve"> и расходы, связанные с изменением справедливой стоимости финансовых активов, оцениваемых по справедливой стоимости, изменения которой отражаются в составе прибыли или убытка, представлены в составе прибыли или убытка в том периоде, в котором они возникают.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инструменты (продолжение)</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Инвестиции (продолжение)</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Изменения справедливой стоимости денежных ценных бумаг, деноминированных в иностранной валюте, которые классифицируются как имеющиеся в наличии для продажи, анализируются на основании расхождений, возникающих в результате изменений амортизированной стоимости и других изменений балансовой стоимости ценной бумаги. Курсовые разницы по денежным ценным бумагам отражаются в прибыли или </w:t>
      </w:r>
      <w:proofErr w:type="gramStart"/>
      <w:r w:rsidRPr="00743CE5">
        <w:rPr>
          <w:rFonts w:ascii="Tahoma" w:eastAsia="Times New Roman" w:hAnsi="Tahoma" w:cs="Tahoma"/>
          <w:color w:val="000000"/>
          <w:sz w:val="18"/>
          <w:szCs w:val="18"/>
          <w:lang w:eastAsia="ru-RU" w:bidi="ru-RU"/>
        </w:rPr>
        <w:t>убытке</w:t>
      </w:r>
      <w:proofErr w:type="gramEnd"/>
      <w:r w:rsidRPr="00743CE5">
        <w:rPr>
          <w:rFonts w:ascii="Tahoma" w:eastAsia="Times New Roman" w:hAnsi="Tahoma" w:cs="Tahoma"/>
          <w:color w:val="000000"/>
          <w:sz w:val="18"/>
          <w:szCs w:val="18"/>
          <w:lang w:eastAsia="ru-RU" w:bidi="ru-RU"/>
        </w:rPr>
        <w:t xml:space="preserve">; курсовые разницы по неденежным ценным бумагам отражаются в составе прочего совокупного дохода. Изменения в справедливой стоимости денежных и неденежных ценных бумаг, классифицированных как имеющиеся в наличии для продажи, отражаются в составе прочего совокупного дохода.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случае</w:t>
      </w:r>
      <w:proofErr w:type="gramEnd"/>
      <w:r w:rsidRPr="00743CE5">
        <w:rPr>
          <w:rFonts w:ascii="Tahoma" w:eastAsia="Times New Roman" w:hAnsi="Tahoma" w:cs="Tahoma"/>
          <w:color w:val="000000"/>
          <w:sz w:val="18"/>
          <w:szCs w:val="18"/>
          <w:lang w:eastAsia="ru-RU" w:bidi="ru-RU"/>
        </w:rPr>
        <w:t xml:space="preserve"> продажи или обесценения ценных бумаг, классифицированных как имеющиеся в наличии для продажи, накопленная сумма корректировок по справедливой стоимости, отраженная в составе прочего совокупного дохода, включается в прибыль или убыток.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Процентный доход по ценным бумагам, имеющимся в наличии для продажи, рассчитывается по методу эффективной ставки процента и отражается в прибыли или убытке как часть процентного дохода. Дивиденды по долевым инструментам, имеющимся в наличии для продажи, отражаются в прибыли или убытке в составе дохода по дивидендам в момент установления права Компании на получение выплат.</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 xml:space="preserve">Справедливая стоимость котируемых инвестиций определяется на основе текущей цены спроса. При отсутствии активного рынка для финансового актива (и для некотируемых ценных бумаг) Компания устанавливает справедливую стоимость, используя методики оценки. Эти методики включают использование информации по последним сделкам, совершенным на рыночных условиях, сопоставление с другими, в значительной степени аналогичными инструментами, а также анализ дисконтированных денежных потоков с целью максимального учета исходных рыночных данных и в минимальной степени – информации, касающейся только конкретного предприятия.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каждую отчетную дату Компания осуществляет оценку на предмет наличия объективных признаков обесценения финансового актива или группы финансовых активов. </w:t>
      </w:r>
      <w:proofErr w:type="gramStart"/>
      <w:r w:rsidRPr="00743CE5">
        <w:rPr>
          <w:rFonts w:ascii="Tahoma" w:eastAsia="Times New Roman" w:hAnsi="Tahoma" w:cs="Tahoma"/>
          <w:color w:val="000000"/>
          <w:sz w:val="18"/>
          <w:szCs w:val="18"/>
          <w:lang w:eastAsia="ru-RU" w:bidi="ru-RU"/>
        </w:rPr>
        <w:t>В отношении долевых ценных бумаг, относимых к категории имеющихся в наличии для продажи, значительное или продолжительное снижение справедливой стоимости ценной бумаги до уровня ниже ее первоначальной стоимости считается показателем обесценения ценных бумаг.</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Если такие свидетельства существуют в отношении финансовых активов, имеющихся в наличии для продажи, то накопленный убыток, оцениваемый как разница между стоимостью приобретения и текущей справедливой стоимостью, за вычетом убытка от обесценения данного актива, который был первоначально признан по счетам прибылей и убытков, переносится со счетов капитала в составе прибыли или убытка.</w:t>
      </w:r>
      <w:proofErr w:type="gramEnd"/>
      <w:r w:rsidRPr="00743CE5">
        <w:rPr>
          <w:rFonts w:ascii="Tahoma" w:eastAsia="Times New Roman" w:hAnsi="Tahoma" w:cs="Tahoma"/>
          <w:color w:val="000000"/>
          <w:sz w:val="18"/>
          <w:szCs w:val="18"/>
          <w:lang w:eastAsia="ru-RU" w:bidi="ru-RU"/>
        </w:rPr>
        <w:t xml:space="preserve"> Убытки от обесценения долевых инструментов, признанные в отчете о прибылях и убытках, не восстанавливаются через счет прибылей и убытков.</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Денежные средства и их эквиваленты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Денежные средства и их эквиваленты включают средства на счетах в банках с первоначальным сроком погашения по договору не более трех месяцев. Денежные средства и их эквиваленты учитываются по амортизированной стоимости, рассчитанной с использованием метода эффективной ставки процента.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Заемные средства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первоначально признаются по сумме полученных средств за вычетом понесенных затрат по сделкам. Впоследствии заемные средства отражаются по амортизированной стоимости с использованием метода эффективной ставки процента. Разница между суммой полученных средств (за вычетом понесенных затрат) и стоимостью погашения отражается по счету прибылей и убытков в течение периода заимствования с использованием метода эффективной процентной ставки.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Arial"/>
          <w:color w:val="000000"/>
          <w:sz w:val="18"/>
          <w:lang w:eastAsia="ru-RU" w:bidi="ru-RU"/>
        </w:rPr>
        <w:t>Заемные средства классифицируются как краткосрочные  обязательства, за исключением случаев, когда Компания обладает безусловным правом на отсрочку урегулирования обязательства на период не менее 12 месяцев после отчетной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инструменты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Торговая кредиторская задолженность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Arial"/>
          <w:color w:val="000000"/>
          <w:sz w:val="18"/>
          <w:lang w:eastAsia="ru-RU" w:bidi="ru-RU"/>
        </w:rPr>
        <w:t xml:space="preserve">Торговая кредиторская задолженность представляет собой обязательство </w:t>
      </w:r>
      <w:proofErr w:type="gramStart"/>
      <w:r w:rsidRPr="00743CE5">
        <w:rPr>
          <w:rFonts w:ascii="Tahoma" w:eastAsia="Times New Roman" w:hAnsi="Tahoma" w:cs="Arial"/>
          <w:color w:val="000000"/>
          <w:sz w:val="18"/>
          <w:lang w:eastAsia="ru-RU" w:bidi="ru-RU"/>
        </w:rPr>
        <w:t>произвести выплату за товары</w:t>
      </w:r>
      <w:proofErr w:type="gramEnd"/>
      <w:r w:rsidRPr="00743CE5">
        <w:rPr>
          <w:rFonts w:ascii="Tahoma" w:eastAsia="Times New Roman" w:hAnsi="Tahoma" w:cs="Arial"/>
          <w:color w:val="000000"/>
          <w:sz w:val="18"/>
          <w:lang w:eastAsia="ru-RU" w:bidi="ru-RU"/>
        </w:rPr>
        <w:t xml:space="preserve"> или услуги, которые были приобретены у поставщиков в ходе обычной деятельности. Кредиторская задолженность относится к краткосрочным обязательствам, если срок платежа наступает в течение одного года или ранее (или в ходе обычного операционного цикла деятельности, в случае более длительного срока). В противном </w:t>
      </w:r>
      <w:proofErr w:type="gramStart"/>
      <w:r w:rsidRPr="00743CE5">
        <w:rPr>
          <w:rFonts w:ascii="Tahoma" w:eastAsia="Times New Roman" w:hAnsi="Tahoma" w:cs="Arial"/>
          <w:color w:val="000000"/>
          <w:sz w:val="18"/>
          <w:lang w:eastAsia="ru-RU" w:bidi="ru-RU"/>
        </w:rPr>
        <w:t>случае</w:t>
      </w:r>
      <w:proofErr w:type="gramEnd"/>
      <w:r w:rsidRPr="00743CE5">
        <w:rPr>
          <w:rFonts w:ascii="Tahoma" w:eastAsia="Times New Roman" w:hAnsi="Tahoma" w:cs="Arial"/>
          <w:color w:val="000000"/>
          <w:sz w:val="18"/>
          <w:lang w:eastAsia="ru-RU" w:bidi="ru-RU"/>
        </w:rPr>
        <w:t xml:space="preserve"> задолженность отражается в качестве долгосрочных обязательств. Торговая кредиторская задолженность первоначально признается по справедливой стоимости, а впоследствии оценивается по амортизированной стоимости с использованием метода эффективной ставки процента.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Производные финансовые инструменты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 включая валютообменные контракты и процентные свопы, отражаются по справедливой стоимости. Производные инструменты учитываются как активы, если справедливая стоимость данных инструментов является положительной, и как обязательства, если их справедливая стоимость является отрицательной. Изменения справедливой стоимости производных инструментов включаются в прибыль или убыток за год. Компания не применяет учет хеджирования. Некоторые производные инструменты, встроенные в другие финансовые инструменты, выделяются из основного договора, если их риски и экономические характеристики не находятся в тесной связи с рисками и экономическими характеристиками договора. Изменение справедливой стоимости производных инструментов признается в составе прибылей и убытков.</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Прекращение признания финансовых активов и обязательств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Финансовые активы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прекращает признание финансового актива (или, если применимо, части финансового актива или группы аналогичных финансовых активов) в следующих случаях: </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погашены или срок действия прав на потоки денежных средств, связанных с этими активами, истек;</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передала практически все риски и вознаграждения, связанные с владением этими активами; или</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не передала и не сохранила практически все риски и вознаграждения, связанные с владением этими активами, но утратила право контроля в отношении данных активов.</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Финансовые обязательства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прекращает признание финансового обязательства или части финансового обязательства в случае его исполнения, отмены или истечения срока действия.</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Обесценение нефинансовых активов </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с неопределенным сроком службы не подлежат амортизации, и в их отношении ежегодно проводится тестирование на обесценение. Активы, подлежащие амортизации, тестируются на предмет обесценения, если какие-либо события или изменения свидетельствуют о том, что балансовая стоимость, возможно, не будет возмещена. Убыток от обесценения признается в отношении суммы, на которую балансовая стоимость актива превышает его возмещаемую стоимость. Возмещаемая стоимость определяется как наибольшая из справедливой стоимости актива за вычетом затрат на продажу и стоимости, получаемой в результате полезного использования. Для определения величины обесценения активы объединяются в группу на самом низком уровне, на котором Компания отдельно идентифицирует потоки денежных средств (единицы, генерирующие денежные потоки).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Взаимозачет финансовых инструментов </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и обязательства взаимозачитываются и в отчете о финансовом положении отражается чистая величина только в тех случаях, когда существует законодательно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 Как правило, это не относится к генеральным соглашениям о взаимозачете; соответствующие активы и обязательства </w:t>
      </w:r>
      <w:proofErr w:type="gramStart"/>
      <w:r w:rsidRPr="00743CE5">
        <w:rPr>
          <w:rFonts w:ascii="Tahoma" w:eastAsia="Times New Roman" w:hAnsi="Tahoma" w:cs="Tahoma"/>
          <w:color w:val="000000"/>
          <w:sz w:val="18"/>
          <w:szCs w:val="18"/>
          <w:lang w:eastAsia="ru-RU" w:bidi="ru-RU"/>
        </w:rPr>
        <w:t>представлены</w:t>
      </w:r>
      <w:proofErr w:type="gramEnd"/>
      <w:r w:rsidRPr="00743CE5">
        <w:rPr>
          <w:rFonts w:ascii="Tahoma" w:eastAsia="Times New Roman" w:hAnsi="Tahoma" w:cs="Tahoma"/>
          <w:color w:val="000000"/>
          <w:sz w:val="18"/>
          <w:szCs w:val="18"/>
          <w:lang w:eastAsia="ru-RU" w:bidi="ru-RU"/>
        </w:rPr>
        <w:t xml:space="preserve"> развернуто в отчете о финансовом положении.</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Операции с владельцами капитала/дочерними предприятиями</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осуществляет операции с акционерами и дочерними предприятиями. </w:t>
      </w:r>
      <w:proofErr w:type="gramStart"/>
      <w:r w:rsidRPr="00743CE5">
        <w:rPr>
          <w:rFonts w:ascii="Tahoma" w:eastAsia="Times New Roman" w:hAnsi="Tahoma" w:cs="Tahoma"/>
          <w:color w:val="000000"/>
          <w:sz w:val="18"/>
          <w:szCs w:val="18"/>
          <w:lang w:eastAsia="ru-RU" w:bidi="ru-RU"/>
        </w:rPr>
        <w:t>На основе характера сделки в соответствии с учетной политикой Компания признает (а) прибыль или убытки у собственников Компании и других предприятий, находящихся под контролем конечного акционера, напрямую через капитал, и учитывает эти сделки как получение дополнительного взноса в капитал или выплату дивидендов; и (b) любые убытки дочерних предприятий как стоимость инвестиций в дочерние предприятия.</w:t>
      </w:r>
      <w:proofErr w:type="gramEnd"/>
      <w:r w:rsidRPr="00743CE5">
        <w:rPr>
          <w:rFonts w:ascii="Tahoma" w:eastAsia="Times New Roman" w:hAnsi="Tahoma" w:cs="Tahoma"/>
          <w:color w:val="000000"/>
          <w:sz w:val="18"/>
          <w:szCs w:val="18"/>
          <w:lang w:eastAsia="ru-RU" w:bidi="ru-RU"/>
        </w:rPr>
        <w:t xml:space="preserve"> Аналогичные операции со сторонами, не владеющими акциями, или дочерними предприятиями признаются через прибыль или убыток в соответствии с МСФО (IAS) 39 «Финансовые инструменты: признание и оценка». Компания учитывает все операции с собственниками/дочерними предприятиями по выбытию дочерних предприятий по цене сделки. При возникновении прибыли или убытка Компания учитывает эти статьи, как указано выше.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Акционерный капитал и эмиссионный доход</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Обыкновенные акции отражаются как капитал.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Эмиссионный доход представляет собой разницу между справедливой стоимостью подлежащего к получению возмещения за акции и номинальной стоимостью акций.  Счет эмиссионного дохода может использоваться для ограниченного набора целей, в который не входит выплата дивидендов, в противном случае он подпадает под положения Закона о компаниях Кипра о снижении уставного капитала.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Акции отражаются как капитал, только если соблюдены оба условия (а) и (b): (а) акции не включают договорные обязательства (i) выплатить денежные средства или прочие финансовые активы другому предприятию или (ii) обменяться финансовыми активами или финансовыми обязательствами с другим предприятием на условиях, потенциально неблагоприятных для эмитента, и (</w:t>
      </w:r>
      <w:proofErr w:type="gramStart"/>
      <w:r w:rsidRPr="00743CE5">
        <w:rPr>
          <w:rFonts w:ascii="Tahoma" w:eastAsia="Times New Roman" w:hAnsi="Tahoma" w:cs="Tahoma"/>
          <w:color w:val="000000"/>
          <w:sz w:val="18"/>
          <w:szCs w:val="18"/>
          <w:lang w:eastAsia="ru-RU" w:bidi="ru-RU"/>
        </w:rPr>
        <w:t xml:space="preserve">b) </w:t>
      </w:r>
      <w:proofErr w:type="gramEnd"/>
      <w:r w:rsidRPr="00743CE5">
        <w:rPr>
          <w:rFonts w:ascii="Tahoma" w:eastAsia="Times New Roman" w:hAnsi="Tahoma" w:cs="Tahoma"/>
          <w:color w:val="000000"/>
          <w:sz w:val="18"/>
          <w:szCs w:val="18"/>
          <w:lang w:eastAsia="ru-RU" w:bidi="ru-RU"/>
        </w:rPr>
        <w:t>акции будут или могут быть погашены собственными долевыми инструментами эмитента, и акции являются (i) непроизводными инструментами без договорных обязатель</w:t>
      </w:r>
      <w:proofErr w:type="gramStart"/>
      <w:r w:rsidRPr="00743CE5">
        <w:rPr>
          <w:rFonts w:ascii="Tahoma" w:eastAsia="Times New Roman" w:hAnsi="Tahoma" w:cs="Tahoma"/>
          <w:color w:val="000000"/>
          <w:sz w:val="18"/>
          <w:szCs w:val="18"/>
          <w:lang w:eastAsia="ru-RU" w:bidi="ru-RU"/>
        </w:rPr>
        <w:t>ств дл</w:t>
      </w:r>
      <w:proofErr w:type="gramEnd"/>
      <w:r w:rsidRPr="00743CE5">
        <w:rPr>
          <w:rFonts w:ascii="Tahoma" w:eastAsia="Times New Roman" w:hAnsi="Tahoma" w:cs="Tahoma"/>
          <w:color w:val="000000"/>
          <w:sz w:val="18"/>
          <w:szCs w:val="18"/>
          <w:lang w:eastAsia="ru-RU" w:bidi="ru-RU"/>
        </w:rPr>
        <w:t xml:space="preserve">я эмитента предоставить переменное количество собственных долевых инструментов или (ii) производными инструментами, расчет по которым производится только посредством обмена эмитентом фиксированной суммы денежных средств или другого финансового актива на фиксированное количество собственных долевых инструментов.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отношении</w:t>
      </w:r>
      <w:proofErr w:type="gramEnd"/>
      <w:r w:rsidRPr="00743CE5">
        <w:rPr>
          <w:rFonts w:ascii="Tahoma" w:eastAsia="Times New Roman" w:hAnsi="Tahoma" w:cs="Tahoma"/>
          <w:color w:val="000000"/>
          <w:sz w:val="18"/>
          <w:szCs w:val="18"/>
          <w:lang w:eastAsia="ru-RU" w:bidi="ru-RU"/>
        </w:rPr>
        <w:t xml:space="preserve"> выплат, основанных на акциях, расчеты по которым осуществляются долевыми инструментами, когда акции выпускаются в качестве оплаты за приобретение инвестиций, Компания учитывает инвестиции по справедливой стоимости с соответствующим увеличением капитала.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План выплат денежными средствами, основанных на акциях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Некоторые директора и старший руководящий персонал Компании имеют право на выплаты, основанные на акциях. Ввиду того, что в рамках данного плана Компания имеет обязательство осуществить выплаты денежными средствами, этот план учитывается как операция по выплатам денежными средствами, основанным на акциях. Расчет обязательств и расходов, относящихся к данному плану, основан на 1) периоде вступления в права на получение платежей, 2) расчетной справедливой стоимости опционов, 3) количестве опционов, которые удовлетворяют условиям вступления в права и 4) расчетном сроке исполнения опционов. Обязательство, относящееся к плану, оценивается на конец каждого отчетного периода по справедливой стоимости через прибыль или убыток по мере передачи прав по опционам. Обязательство первоначально и на конец каждого отчетного периода до момента его исполнения оценивается </w:t>
      </w:r>
      <w:proofErr w:type="gramStart"/>
      <w:r w:rsidRPr="00743CE5">
        <w:rPr>
          <w:rFonts w:ascii="Tahoma" w:eastAsia="Times New Roman" w:hAnsi="Tahoma" w:cs="Tahoma"/>
          <w:color w:val="000000"/>
          <w:sz w:val="18"/>
          <w:szCs w:val="18"/>
          <w:lang w:eastAsia="ru-RU" w:bidi="ru-RU"/>
        </w:rPr>
        <w:t>по справедливой стоимости прав на получение прироста стоимости акций с использованием модели оценки опциона с учетом условий передачи прав на получение</w:t>
      </w:r>
      <w:proofErr w:type="gramEnd"/>
      <w:r w:rsidRPr="00743CE5">
        <w:rPr>
          <w:rFonts w:ascii="Tahoma" w:eastAsia="Times New Roman" w:hAnsi="Tahoma" w:cs="Tahoma"/>
          <w:color w:val="000000"/>
          <w:sz w:val="18"/>
          <w:szCs w:val="18"/>
          <w:lang w:eastAsia="ru-RU" w:bidi="ru-RU"/>
        </w:rPr>
        <w:t xml:space="preserve"> прироста стоимости акций и в пределах услуг, оказанных сотрудниками на текущую дату.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План выплат долевыми инструментами, основанных на акциях</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 2013 года некоторые директора и старший руководящий персонал Компании имеют право на выплаты долевыми инструментами, основанные на акциях. В </w:t>
      </w:r>
      <w:proofErr w:type="gramStart"/>
      <w:r w:rsidRPr="00743CE5">
        <w:rPr>
          <w:rFonts w:ascii="Tahoma" w:eastAsia="Times New Roman" w:hAnsi="Tahoma" w:cs="Tahoma"/>
          <w:color w:val="000000"/>
          <w:sz w:val="18"/>
          <w:szCs w:val="18"/>
          <w:lang w:eastAsia="ru-RU" w:bidi="ru-RU"/>
        </w:rPr>
        <w:t>рамках</w:t>
      </w:r>
      <w:proofErr w:type="gramEnd"/>
      <w:r w:rsidRPr="00743CE5">
        <w:rPr>
          <w:rFonts w:ascii="Tahoma" w:eastAsia="Times New Roman" w:hAnsi="Tahoma" w:cs="Tahoma"/>
          <w:color w:val="000000"/>
          <w:sz w:val="18"/>
          <w:szCs w:val="18"/>
          <w:lang w:eastAsia="ru-RU" w:bidi="ru-RU"/>
        </w:rPr>
        <w:t xml:space="preserve"> этого плана Компания получает услуги от сотрудников в качестве оплаты за долевые инструменты, выпущенные Компанией. По этим планам Компания оценивает полученные услуги и соответствующий прирост капитала напрямую, по справедливой стоимости полученных услуг, до тех пор, пока такая справедливая стоимость может быть рассчитана с достаточной степенью надежности. Когда Компания не может рассчитать с достаточной степенью надежности справедливую стоимость полученных услуг, Компания оценивает справедливую стоимость и соответствующий прирост капитала косвенно, на основе справедливой стоимости предоставленных долевых инструментов. Справедливая стоимость долевых инструментов оценивается на дату предоставления.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3. Управление финансовыми рисками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Факторы финансового риска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подвержена риску изменения процентной ставки, кредитному риску, риску ликвидности, валютному риску и риску капитала, связанному с финансовыми инструментами. Политика по управлению данными рисками, применяемая Компанией, описана ниже.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3.1 Риск процентной ставки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Риск процентной ставки представляет собой риск, связанный с влиянием колебаний рыночных процентных ставок на финансовое положение и потоки денежных средств Компании. Компания не подвержена существенному риску изменения процентных ставок по денежным средствам, поскольку ее задолженность по займам и заемные средства представлены в основном задолженностью по займам и заемными средствами, имеющими фиксированные процентные ставки. В связи с этим изменение рыночных процентных ставок не окажет существенного влияния на результаты и потоки денежных средств компании, поэтому информация о чувствительности к изменению процентных ставок не представлена.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таблице ниже отражены общие суммы финансовых активов и финансовых обязательств Компании </w:t>
      </w:r>
      <w:proofErr w:type="gramStart"/>
      <w:r w:rsidRPr="00743CE5">
        <w:rPr>
          <w:rFonts w:ascii="Tahoma" w:eastAsia="Times New Roman" w:hAnsi="Tahoma" w:cs="Tahoma"/>
          <w:color w:val="000000"/>
          <w:sz w:val="18"/>
          <w:szCs w:val="18"/>
          <w:lang w:eastAsia="ru-RU" w:bidi="ru-RU"/>
        </w:rPr>
        <w:t>по балансовой стоимости в разбивке по датам пересмотра процентных ставок в соответствии с договорами</w:t>
      </w:r>
      <w:proofErr w:type="gramEnd"/>
      <w:r w:rsidRPr="00743CE5">
        <w:rPr>
          <w:rFonts w:ascii="Tahoma" w:eastAsia="Times New Roman" w:hAnsi="Tahoma" w:cs="Tahoma"/>
          <w:color w:val="000000"/>
          <w:sz w:val="18"/>
          <w:szCs w:val="18"/>
          <w:lang w:eastAsia="ru-RU" w:bidi="ru-RU"/>
        </w:rPr>
        <w:t xml:space="preserve"> или сроками погашения, в зависимости от того, какая из указанных дат является более ранней.</w:t>
      </w:r>
    </w:p>
    <w:tbl>
      <w:tblPr>
        <w:tblW w:w="9504" w:type="dxa"/>
        <w:tblLayout w:type="fixed"/>
        <w:tblLook w:val="0000" w:firstRow="0" w:lastRow="0" w:firstColumn="0" w:lastColumn="0" w:noHBand="0" w:noVBand="0"/>
      </w:tblPr>
      <w:tblGrid>
        <w:gridCol w:w="3085"/>
        <w:gridCol w:w="1559"/>
        <w:gridCol w:w="1764"/>
        <w:gridCol w:w="1569"/>
        <w:gridCol w:w="1527"/>
      </w:tblGrid>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Менее 1 года</w:t>
            </w:r>
          </w:p>
        </w:tc>
        <w:tc>
          <w:tcPr>
            <w:tcW w:w="1764" w:type="dxa"/>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w:t>
            </w:r>
          </w:p>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 до 5 лет</w:t>
            </w:r>
          </w:p>
        </w:tc>
        <w:tc>
          <w:tcPr>
            <w:tcW w:w="1569" w:type="dxa"/>
          </w:tcPr>
          <w:p w:rsidR="00743CE5" w:rsidRPr="00743CE5" w:rsidRDefault="00743CE5" w:rsidP="00743CE5">
            <w:pPr>
              <w:widowControl w:val="0"/>
              <w:tabs>
                <w:tab w:val="right" w:pos="1464"/>
                <w:tab w:val="left" w:pos="1490"/>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w:t>
            </w:r>
          </w:p>
          <w:p w:rsidR="00743CE5" w:rsidRPr="00743CE5" w:rsidRDefault="00743CE5" w:rsidP="00743CE5">
            <w:pPr>
              <w:widowControl w:val="0"/>
              <w:tabs>
                <w:tab w:val="right" w:pos="1464"/>
                <w:tab w:val="left" w:pos="1490"/>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5 лет</w:t>
            </w:r>
          </w:p>
        </w:tc>
        <w:tc>
          <w:tcPr>
            <w:tcW w:w="152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Итого</w:t>
            </w: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76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56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52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31 декабря 2013 г. </w:t>
            </w:r>
          </w:p>
        </w:tc>
        <w:tc>
          <w:tcPr>
            <w:tcW w:w="155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76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56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52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w:t>
            </w:r>
          </w:p>
        </w:tc>
        <w:tc>
          <w:tcPr>
            <w:tcW w:w="1559" w:type="dxa"/>
          </w:tcPr>
          <w:p w:rsidR="00743CE5" w:rsidRPr="00743CE5" w:rsidRDefault="00743CE5" w:rsidP="00743CE5">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47,380,250</w:t>
            </w:r>
          </w:p>
        </w:tc>
        <w:tc>
          <w:tcPr>
            <w:tcW w:w="1764" w:type="dxa"/>
          </w:tcPr>
          <w:p w:rsidR="00743CE5" w:rsidRPr="00743CE5" w:rsidRDefault="00743CE5" w:rsidP="00743CE5">
            <w:pPr>
              <w:widowControl w:val="0"/>
              <w:tabs>
                <w:tab w:val="left" w:pos="1404"/>
                <w:tab w:val="right" w:pos="154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7,913,463</w:t>
            </w:r>
          </w:p>
        </w:tc>
        <w:tc>
          <w:tcPr>
            <w:tcW w:w="1569" w:type="dxa"/>
          </w:tcPr>
          <w:p w:rsidR="00743CE5" w:rsidRPr="00743CE5" w:rsidRDefault="00743CE5" w:rsidP="00743CE5">
            <w:pPr>
              <w:widowControl w:val="0"/>
              <w:tabs>
                <w:tab w:val="right" w:pos="1464"/>
                <w:tab w:val="left" w:pos="14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30,275,032</w:t>
            </w:r>
          </w:p>
        </w:tc>
        <w:tc>
          <w:tcPr>
            <w:tcW w:w="1527" w:type="dxa"/>
          </w:tcPr>
          <w:p w:rsidR="00743CE5" w:rsidRPr="00743CE5" w:rsidRDefault="00743CE5" w:rsidP="00743CE5">
            <w:pPr>
              <w:widowControl w:val="0"/>
              <w:tabs>
                <w:tab w:val="right" w:pos="1421"/>
                <w:tab w:val="left" w:pos="1447"/>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85,568,745</w:t>
            </w: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w:t>
            </w:r>
          </w:p>
        </w:tc>
        <w:tc>
          <w:tcPr>
            <w:tcW w:w="1559" w:type="dxa"/>
          </w:tcPr>
          <w:p w:rsidR="00743CE5" w:rsidRPr="00743CE5" w:rsidRDefault="00743CE5" w:rsidP="00743CE5">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(53,865,626)</w:t>
            </w:r>
          </w:p>
        </w:tc>
        <w:tc>
          <w:tcPr>
            <w:tcW w:w="1764" w:type="dxa"/>
          </w:tcPr>
          <w:p w:rsidR="00743CE5" w:rsidRPr="00743CE5" w:rsidRDefault="00743CE5" w:rsidP="00743CE5">
            <w:pPr>
              <w:widowControl w:val="0"/>
              <w:tabs>
                <w:tab w:val="left" w:pos="1404"/>
                <w:tab w:val="right" w:pos="1548"/>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(155,749,532)</w:t>
            </w:r>
          </w:p>
        </w:tc>
        <w:tc>
          <w:tcPr>
            <w:tcW w:w="1569" w:type="dxa"/>
          </w:tcPr>
          <w:p w:rsidR="00743CE5" w:rsidRPr="00743CE5" w:rsidRDefault="00743CE5" w:rsidP="00743CE5">
            <w:pPr>
              <w:widowControl w:val="0"/>
              <w:tabs>
                <w:tab w:val="right" w:pos="1349"/>
                <w:tab w:val="left" w:pos="1490"/>
              </w:tabs>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w:t>
            </w:r>
          </w:p>
        </w:tc>
        <w:tc>
          <w:tcPr>
            <w:tcW w:w="1527" w:type="dxa"/>
          </w:tcPr>
          <w:p w:rsidR="00743CE5" w:rsidRPr="00743CE5" w:rsidRDefault="00743CE5" w:rsidP="00743CE5">
            <w:pPr>
              <w:widowControl w:val="0"/>
              <w:tabs>
                <w:tab w:val="right" w:pos="1421"/>
                <w:tab w:val="left" w:pos="1447"/>
              </w:tabs>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(209,615,158)</w:t>
            </w:r>
          </w:p>
        </w:tc>
      </w:tr>
      <w:tr w:rsidR="00743CE5" w:rsidRPr="00743CE5" w:rsidTr="00743CE5">
        <w:tc>
          <w:tcPr>
            <w:tcW w:w="3085" w:type="dxa"/>
          </w:tcPr>
          <w:p w:rsidR="00743CE5" w:rsidRPr="00743CE5" w:rsidRDefault="00743CE5" w:rsidP="00743CE5">
            <w:pPr>
              <w:widowControl w:val="0"/>
              <w:tabs>
                <w:tab w:val="left" w:pos="720"/>
                <w:tab w:val="left" w:pos="1440"/>
                <w:tab w:val="left" w:pos="2160"/>
                <w:tab w:val="left" w:pos="2880"/>
                <w:tab w:val="left" w:pos="3600"/>
              </w:tabs>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414"/>
                <w:tab w:val="left" w:pos="1440"/>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(6,485,376)</w:t>
            </w:r>
          </w:p>
        </w:tc>
        <w:tc>
          <w:tcPr>
            <w:tcW w:w="1764" w:type="dxa"/>
          </w:tcPr>
          <w:p w:rsidR="00743CE5" w:rsidRPr="00743CE5" w:rsidRDefault="00743CE5" w:rsidP="00743CE5">
            <w:pPr>
              <w:widowControl w:val="0"/>
              <w:tabs>
                <w:tab w:val="right" w:pos="1414"/>
                <w:tab w:val="left" w:pos="1440"/>
                <w:tab w:val="right" w:pos="1548"/>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(147,836,069)</w:t>
            </w:r>
          </w:p>
        </w:tc>
        <w:tc>
          <w:tcPr>
            <w:tcW w:w="1569" w:type="dxa"/>
          </w:tcPr>
          <w:p w:rsidR="00743CE5" w:rsidRPr="00743CE5" w:rsidRDefault="00743CE5" w:rsidP="00743CE5">
            <w:pPr>
              <w:widowControl w:val="0"/>
              <w:tabs>
                <w:tab w:val="right" w:pos="1414"/>
                <w:tab w:val="left" w:pos="144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30,275,032</w:t>
            </w:r>
          </w:p>
        </w:tc>
        <w:tc>
          <w:tcPr>
            <w:tcW w:w="1527" w:type="dxa"/>
          </w:tcPr>
          <w:p w:rsidR="00743CE5" w:rsidRPr="00743CE5" w:rsidRDefault="00743CE5" w:rsidP="00743CE5">
            <w:pPr>
              <w:widowControl w:val="0"/>
              <w:tabs>
                <w:tab w:val="right" w:pos="1414"/>
                <w:tab w:val="left" w:pos="144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(124,046,413)</w:t>
            </w: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31 декабря 2012 г. </w:t>
            </w:r>
          </w:p>
        </w:tc>
        <w:tc>
          <w:tcPr>
            <w:tcW w:w="155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64" w:type="dxa"/>
          </w:tcPr>
          <w:p w:rsidR="00743CE5" w:rsidRPr="00743CE5" w:rsidRDefault="00743CE5" w:rsidP="00743CE5">
            <w:pPr>
              <w:widowControl w:val="0"/>
              <w:tabs>
                <w:tab w:val="right" w:pos="1548"/>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56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w:t>
            </w:r>
          </w:p>
        </w:tc>
        <w:tc>
          <w:tcPr>
            <w:tcW w:w="1559" w:type="dxa"/>
          </w:tcPr>
          <w:p w:rsidR="00743CE5" w:rsidRPr="00743CE5" w:rsidRDefault="00743CE5" w:rsidP="00743CE5">
            <w:pPr>
              <w:widowControl w:val="0"/>
              <w:tabs>
                <w:tab w:val="right" w:pos="1406"/>
                <w:tab w:val="left" w:pos="14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17,781,224</w:t>
            </w:r>
          </w:p>
        </w:tc>
        <w:tc>
          <w:tcPr>
            <w:tcW w:w="1764" w:type="dxa"/>
          </w:tcPr>
          <w:p w:rsidR="00743CE5" w:rsidRPr="00743CE5" w:rsidRDefault="00743CE5" w:rsidP="00743CE5">
            <w:pPr>
              <w:widowControl w:val="0"/>
              <w:tabs>
                <w:tab w:val="left" w:pos="1404"/>
                <w:tab w:val="right" w:pos="154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294,162,727</w:t>
            </w:r>
          </w:p>
        </w:tc>
        <w:tc>
          <w:tcPr>
            <w:tcW w:w="1569" w:type="dxa"/>
          </w:tcPr>
          <w:p w:rsidR="00743CE5" w:rsidRPr="00743CE5" w:rsidRDefault="00743CE5" w:rsidP="00743CE5">
            <w:pPr>
              <w:widowControl w:val="0"/>
              <w:tabs>
                <w:tab w:val="right" w:pos="1349"/>
                <w:tab w:val="left" w:pos="149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27" w:type="dxa"/>
          </w:tcPr>
          <w:p w:rsidR="00743CE5" w:rsidRPr="00743CE5" w:rsidRDefault="00743CE5" w:rsidP="00743CE5">
            <w:pPr>
              <w:widowControl w:val="0"/>
              <w:tabs>
                <w:tab w:val="right" w:pos="1421"/>
                <w:tab w:val="left" w:pos="1447"/>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311,943,951</w:t>
            </w:r>
          </w:p>
        </w:tc>
      </w:tr>
      <w:tr w:rsidR="00743CE5" w:rsidRPr="00743CE5" w:rsidTr="00743CE5">
        <w:tc>
          <w:tcPr>
            <w:tcW w:w="308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w:t>
            </w:r>
          </w:p>
        </w:tc>
        <w:tc>
          <w:tcPr>
            <w:tcW w:w="1559" w:type="dxa"/>
          </w:tcPr>
          <w:p w:rsidR="00743CE5" w:rsidRPr="00743CE5" w:rsidRDefault="00743CE5" w:rsidP="00743CE5">
            <w:pPr>
              <w:widowControl w:val="0"/>
              <w:tabs>
                <w:tab w:val="right" w:pos="1406"/>
                <w:tab w:val="left" w:pos="143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(25,272,787)</w:t>
            </w:r>
          </w:p>
        </w:tc>
        <w:tc>
          <w:tcPr>
            <w:tcW w:w="1764" w:type="dxa"/>
          </w:tcPr>
          <w:p w:rsidR="00743CE5" w:rsidRPr="00743CE5" w:rsidRDefault="00743CE5" w:rsidP="00743CE5">
            <w:pPr>
              <w:widowControl w:val="0"/>
              <w:tabs>
                <w:tab w:val="left" w:pos="1404"/>
                <w:tab w:val="right" w:pos="1548"/>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(294,894,593)</w:t>
            </w:r>
          </w:p>
        </w:tc>
        <w:tc>
          <w:tcPr>
            <w:tcW w:w="1569" w:type="dxa"/>
          </w:tcPr>
          <w:p w:rsidR="00743CE5" w:rsidRPr="00743CE5" w:rsidRDefault="00743CE5" w:rsidP="00743CE5">
            <w:pPr>
              <w:widowControl w:val="0"/>
              <w:tabs>
                <w:tab w:val="right" w:pos="1349"/>
                <w:tab w:val="left" w:pos="149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w:t>
            </w:r>
          </w:p>
        </w:tc>
        <w:tc>
          <w:tcPr>
            <w:tcW w:w="1527" w:type="dxa"/>
          </w:tcPr>
          <w:p w:rsidR="00743CE5" w:rsidRPr="00743CE5" w:rsidRDefault="00743CE5" w:rsidP="00743CE5">
            <w:pPr>
              <w:widowControl w:val="0"/>
              <w:tabs>
                <w:tab w:val="right" w:pos="1421"/>
                <w:tab w:val="left" w:pos="1447"/>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(320,167,380)</w:t>
            </w:r>
          </w:p>
        </w:tc>
      </w:tr>
      <w:tr w:rsidR="00743CE5" w:rsidRPr="00743CE5" w:rsidTr="00743CE5">
        <w:tc>
          <w:tcPr>
            <w:tcW w:w="3085" w:type="dxa"/>
          </w:tcPr>
          <w:p w:rsidR="00743CE5" w:rsidRPr="00743CE5" w:rsidRDefault="00743CE5" w:rsidP="00743CE5">
            <w:pPr>
              <w:widowControl w:val="0"/>
              <w:tabs>
                <w:tab w:val="left" w:pos="719"/>
                <w:tab w:val="left" w:pos="1439"/>
                <w:tab w:val="left" w:pos="2159"/>
                <w:tab w:val="left" w:pos="2879"/>
                <w:tab w:val="left" w:pos="3599"/>
              </w:tabs>
              <w:autoSpaceDE w:val="0"/>
              <w:autoSpaceDN w:val="0"/>
              <w:adjustRightInd w:val="0"/>
              <w:spacing w:after="0" w:line="36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406"/>
                <w:tab w:val="left" w:pos="14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(7,491,563)</w:t>
            </w:r>
          </w:p>
        </w:tc>
        <w:tc>
          <w:tcPr>
            <w:tcW w:w="1764" w:type="dxa"/>
          </w:tcPr>
          <w:p w:rsidR="00743CE5" w:rsidRPr="00743CE5" w:rsidRDefault="00743CE5" w:rsidP="00743CE5">
            <w:pPr>
              <w:widowControl w:val="0"/>
              <w:tabs>
                <w:tab w:val="left" w:pos="1404"/>
                <w:tab w:val="right" w:pos="1548"/>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(731,866)</w:t>
            </w:r>
          </w:p>
        </w:tc>
        <w:tc>
          <w:tcPr>
            <w:tcW w:w="1569" w:type="dxa"/>
          </w:tcPr>
          <w:p w:rsidR="00743CE5" w:rsidRPr="00743CE5" w:rsidRDefault="00743CE5" w:rsidP="00743CE5">
            <w:pPr>
              <w:widowControl w:val="0"/>
              <w:tabs>
                <w:tab w:val="right" w:pos="1349"/>
                <w:tab w:val="left" w:pos="149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w:t>
            </w:r>
          </w:p>
        </w:tc>
        <w:tc>
          <w:tcPr>
            <w:tcW w:w="1527" w:type="dxa"/>
          </w:tcPr>
          <w:p w:rsidR="00743CE5" w:rsidRPr="00743CE5" w:rsidRDefault="00743CE5" w:rsidP="00743CE5">
            <w:pPr>
              <w:widowControl w:val="0"/>
              <w:tabs>
                <w:tab w:val="right" w:pos="1421"/>
                <w:tab w:val="left" w:pos="1447"/>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(8,223,429)</w:t>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подвержена риску влияния изменений процентных ставок на справедливую стоимость, поскольку ее дебиторская задолженность по займам и займы представлены в основном дебиторской задолженностью по займам и займами, имеющими фиксированные процентные ставки. Компания не осуществляет активное управление риском влияния изменений процентных ставок на справедливую стоимость, поскольку ее дебиторская задолженность по займам и займы представлены в основном дебиторской задолженностью по займам и займами в рамках операций со связанными сторонами.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3.2 Кредитный риск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Кредитный риск связан с невыполнением контрагентами своих обязательств, что может привести к уменьшению суммы будущих денежных потоков, генерируемых финансовыми активами, имеющимися в наличии на отчетную дату. Остатки денежных средств размещены в основном в финансовых учреждениях, имеющих высокий кредитный рейтинг, и Компания имеет политику для ограничения кредитного риска финансовых учреждений. Информация о кредитных рейтингах банков-контрагентов и кредитном качестве финансовых активов представлена в Примечании 14.</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3. Управление финансовыми рисками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3.3 Риск ликвидности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Риск ликвидности представляет собой риск несовпадения сроков требования по активам и обязательствам. Несовпадение данных позиций потенциально повышает прибыльность деятельности, а вместе с этим одновременно повышается риск получения убытков. Компания применяет специальные процедуры, предназначенные для минимизации убытков, в том числе путем обеспечения адекватного уровня денежных потоков и прочих высоколиквидных краткосрочных активов.</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таблице ниже представлен анализ непроизводных финансовых обязательств по срокам погашения, включая расчетные процентные платежи:</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548"/>
        <w:gridCol w:w="1138"/>
        <w:gridCol w:w="1138"/>
        <w:gridCol w:w="1137"/>
        <w:gridCol w:w="1138"/>
        <w:gridCol w:w="1137"/>
        <w:gridCol w:w="1138"/>
      </w:tblGrid>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w:t>
            </w:r>
          </w:p>
        </w:tc>
        <w:tc>
          <w:tcPr>
            <w:tcW w:w="1138" w:type="dxa"/>
            <w:tcBorders>
              <w:top w:val="nil"/>
              <w:left w:val="nil"/>
              <w:bottom w:val="nil"/>
              <w:right w:val="nil"/>
            </w:tcBorders>
            <w:vAlign w:val="bottom"/>
          </w:tcPr>
          <w:p w:rsidR="00743CE5" w:rsidRPr="00743CE5" w:rsidRDefault="00743CE5" w:rsidP="00743CE5">
            <w:pPr>
              <w:widowControl w:val="0"/>
              <w:tabs>
                <w:tab w:val="right" w:pos="1373"/>
                <w:tab w:val="left" w:pos="139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Балансовая стоимость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757"/>
                <w:tab w:val="left" w:pos="178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Договорные потоки денежных средств</w:t>
            </w:r>
          </w:p>
        </w:tc>
        <w:tc>
          <w:tcPr>
            <w:tcW w:w="1137" w:type="dxa"/>
            <w:tcBorders>
              <w:top w:val="nil"/>
              <w:left w:val="nil"/>
              <w:bottom w:val="nil"/>
              <w:right w:val="nil"/>
            </w:tcBorders>
            <w:vAlign w:val="bottom"/>
          </w:tcPr>
          <w:p w:rsidR="00743CE5" w:rsidRPr="00743CE5" w:rsidRDefault="00743CE5" w:rsidP="00743CE5">
            <w:pPr>
              <w:widowControl w:val="0"/>
              <w:tabs>
                <w:tab w:val="right" w:pos="1284"/>
                <w:tab w:val="left" w:pos="131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месяца или менее</w:t>
            </w:r>
          </w:p>
        </w:tc>
        <w:tc>
          <w:tcPr>
            <w:tcW w:w="1138" w:type="dxa"/>
            <w:tcBorders>
              <w:top w:val="nil"/>
              <w:left w:val="nil"/>
              <w:bottom w:val="nil"/>
              <w:right w:val="nil"/>
            </w:tcBorders>
            <w:vAlign w:val="bottom"/>
          </w:tcPr>
          <w:p w:rsidR="00743CE5" w:rsidRPr="00743CE5" w:rsidRDefault="00743CE5" w:rsidP="00743CE5">
            <w:pPr>
              <w:widowControl w:val="0"/>
              <w:tabs>
                <w:tab w:val="right" w:pos="1716"/>
                <w:tab w:val="left" w:pos="174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3 до 12 месяцев</w:t>
            </w:r>
          </w:p>
        </w:tc>
        <w:tc>
          <w:tcPr>
            <w:tcW w:w="1137"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1 до 5 лет</w:t>
            </w:r>
          </w:p>
        </w:tc>
        <w:tc>
          <w:tcPr>
            <w:tcW w:w="1138" w:type="dxa"/>
            <w:tcBorders>
              <w:top w:val="nil"/>
              <w:left w:val="nil"/>
              <w:bottom w:val="nil"/>
              <w:right w:val="nil"/>
            </w:tcBorders>
            <w:vAlign w:val="bottom"/>
          </w:tcPr>
          <w:p w:rsidR="00743CE5" w:rsidRPr="00743CE5" w:rsidRDefault="00743CE5" w:rsidP="00743CE5">
            <w:pPr>
              <w:widowControl w:val="0"/>
              <w:tabs>
                <w:tab w:val="right" w:pos="1409"/>
                <w:tab w:val="left" w:pos="1435"/>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10,002,466</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10,109,178</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10,109,178</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46,277,003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46,277,003</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46,277,003</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полученные от связанных сторон</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199,612,692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228,696,283</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94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46,944,070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181,752,213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257,287,283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286,477,586</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57,781,303</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46,944,070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181,752,213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74" w:type="dxa"/>
        <w:tblInd w:w="39" w:type="dxa"/>
        <w:tblLayout w:type="fixed"/>
        <w:tblCellMar>
          <w:left w:w="39" w:type="dxa"/>
          <w:right w:w="39" w:type="dxa"/>
        </w:tblCellMar>
        <w:tblLook w:val="0000" w:firstRow="0" w:lastRow="0" w:firstColumn="0" w:lastColumn="0" w:noHBand="0" w:noVBand="0"/>
      </w:tblPr>
      <w:tblGrid>
        <w:gridCol w:w="2548"/>
        <w:gridCol w:w="1138"/>
        <w:gridCol w:w="1138"/>
        <w:gridCol w:w="1137"/>
        <w:gridCol w:w="1138"/>
        <w:gridCol w:w="1137"/>
        <w:gridCol w:w="1138"/>
      </w:tblGrid>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31 декабря 2012 г. </w:t>
            </w:r>
          </w:p>
        </w:tc>
        <w:tc>
          <w:tcPr>
            <w:tcW w:w="1138" w:type="dxa"/>
            <w:tcBorders>
              <w:top w:val="nil"/>
              <w:left w:val="nil"/>
              <w:bottom w:val="nil"/>
              <w:right w:val="nil"/>
            </w:tcBorders>
            <w:vAlign w:val="bottom"/>
          </w:tcPr>
          <w:p w:rsidR="00743CE5" w:rsidRPr="00743CE5" w:rsidRDefault="00743CE5" w:rsidP="00743CE5">
            <w:pPr>
              <w:widowControl w:val="0"/>
              <w:tabs>
                <w:tab w:val="right" w:pos="1373"/>
                <w:tab w:val="left" w:pos="139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Балансовая стоимость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757"/>
                <w:tab w:val="left" w:pos="178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Договорные потоки денежных средств</w:t>
            </w:r>
          </w:p>
        </w:tc>
        <w:tc>
          <w:tcPr>
            <w:tcW w:w="1137" w:type="dxa"/>
            <w:tcBorders>
              <w:top w:val="nil"/>
              <w:left w:val="nil"/>
              <w:bottom w:val="nil"/>
              <w:right w:val="nil"/>
            </w:tcBorders>
            <w:vAlign w:val="bottom"/>
          </w:tcPr>
          <w:p w:rsidR="00743CE5" w:rsidRPr="00743CE5" w:rsidRDefault="00743CE5" w:rsidP="00743CE5">
            <w:pPr>
              <w:widowControl w:val="0"/>
              <w:tabs>
                <w:tab w:val="right" w:pos="1284"/>
                <w:tab w:val="left" w:pos="131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месяца или менее</w:t>
            </w:r>
          </w:p>
        </w:tc>
        <w:tc>
          <w:tcPr>
            <w:tcW w:w="1138" w:type="dxa"/>
            <w:tcBorders>
              <w:top w:val="nil"/>
              <w:left w:val="nil"/>
              <w:bottom w:val="nil"/>
              <w:right w:val="nil"/>
            </w:tcBorders>
            <w:vAlign w:val="bottom"/>
          </w:tcPr>
          <w:p w:rsidR="00743CE5" w:rsidRPr="00743CE5" w:rsidRDefault="00743CE5" w:rsidP="00743CE5">
            <w:pPr>
              <w:widowControl w:val="0"/>
              <w:tabs>
                <w:tab w:val="right" w:pos="1716"/>
                <w:tab w:val="left" w:pos="174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3 до 12 месяцев</w:t>
            </w:r>
          </w:p>
        </w:tc>
        <w:tc>
          <w:tcPr>
            <w:tcW w:w="1137"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1 до 5 лет</w:t>
            </w:r>
          </w:p>
        </w:tc>
        <w:tc>
          <w:tcPr>
            <w:tcW w:w="1138" w:type="dxa"/>
            <w:tcBorders>
              <w:top w:val="nil"/>
              <w:left w:val="nil"/>
              <w:bottom w:val="nil"/>
              <w:right w:val="nil"/>
            </w:tcBorders>
            <w:vAlign w:val="bottom"/>
          </w:tcPr>
          <w:p w:rsidR="00743CE5" w:rsidRPr="00743CE5" w:rsidRDefault="00743CE5" w:rsidP="00743CE5">
            <w:pPr>
              <w:widowControl w:val="0"/>
              <w:tabs>
                <w:tab w:val="right" w:pos="1409"/>
                <w:tab w:val="left" w:pos="1435"/>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160,148,841</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198,330,391</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10,200,390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188,130,001</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заемные средства</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15,265,000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16,825,000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16,825,000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7,825,582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7,825,582</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7,825,582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акционером</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2,331,141</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2,331,141</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2,331,141</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36,982,339</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36,982,339</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36,982,339</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полученные от связанных сторон</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144,753,539</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195,769,626</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195,769,626</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367,306,442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458,064,079</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57,339,452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16,825,000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383,899,627</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потоках денежных средств по производным финансовым инструментам, расчет по которым осуществляется на валовой основе, представлена ниже: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2013 года Компания имела договоры на процентные свопы в общей сумме 215 700 000 долларов США (2012 г.: 425 000 000 долларов США) со сроком действия до 28 июля 2016 года, по которым Компания осуществляла выплаты по фиксированной ставке 0,835% в обмен на плавающую ставку.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также имела валютный контракт на покупку 2 969 500 000 рублей за 90 121 396 долларов США, срок </w:t>
      </w:r>
      <w:proofErr w:type="gramStart"/>
      <w:r w:rsidRPr="00743CE5">
        <w:rPr>
          <w:rFonts w:ascii="Tahoma" w:eastAsia="Times New Roman" w:hAnsi="Tahoma" w:cs="Tahoma"/>
          <w:color w:val="000000"/>
          <w:sz w:val="18"/>
          <w:szCs w:val="18"/>
          <w:lang w:eastAsia="ru-RU" w:bidi="ru-RU"/>
        </w:rPr>
        <w:t>действия</w:t>
      </w:r>
      <w:proofErr w:type="gramEnd"/>
      <w:r w:rsidRPr="00743CE5">
        <w:rPr>
          <w:rFonts w:ascii="Tahoma" w:eastAsia="Times New Roman" w:hAnsi="Tahoma" w:cs="Tahoma"/>
          <w:color w:val="000000"/>
          <w:sz w:val="18"/>
          <w:szCs w:val="18"/>
          <w:lang w:eastAsia="ru-RU" w:bidi="ru-RU"/>
        </w:rPr>
        <w:t xml:space="preserve"> которого истекает 20 июля 2017 года.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Более подробная информация о производных финансовых инструментах Компании представлена в Примечании 20.</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 Управление финансовыми рисками (продолжение)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3.4. Валютный риск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Валютный риск представляет собой риск изменения стоимости финансовых инструментов в связи с изменением обменных курсов валют. Валютный риск возникает в том случае, когда срочные коммерческие сделки и отражаемые активы и обязательства деноминированы в валюте, отличной от функциональной валюты Компании. Компания подвержена валютному риску, связанному с различными иностранными валютами, в основном евро, фунтами стерлингов и рублями. Руководство Компании контролирует изменения валютных курсов на непрерывной основе и предпринимает соответствующие действия для минимизации риска.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таблице ниже представлен общий анализ валютного риска Компании: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9388" w:type="dxa"/>
        <w:tblLayout w:type="fixed"/>
        <w:tblLook w:val="0000" w:firstRow="0" w:lastRow="0" w:firstColumn="0" w:lastColumn="0" w:noHBand="0" w:noVBand="0"/>
      </w:tblPr>
      <w:tblGrid>
        <w:gridCol w:w="5544"/>
        <w:gridCol w:w="1281"/>
        <w:gridCol w:w="1282"/>
        <w:gridCol w:w="1281"/>
      </w:tblGrid>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w:t>
            </w:r>
          </w:p>
        </w:tc>
        <w:tc>
          <w:tcPr>
            <w:tcW w:w="1281" w:type="dxa"/>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Евро</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1181"/>
                <w:tab w:val="left" w:pos="1207"/>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Российский </w:t>
            </w:r>
          </w:p>
          <w:p w:rsidR="00743CE5" w:rsidRPr="00743CE5" w:rsidRDefault="00743CE5" w:rsidP="00743CE5">
            <w:pPr>
              <w:widowControl w:val="0"/>
              <w:tabs>
                <w:tab w:val="right" w:pos="1181"/>
                <w:tab w:val="left" w:pos="1207"/>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рубль</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786"/>
                <w:tab w:val="left" w:pos="181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w:t>
            </w:r>
          </w:p>
          <w:p w:rsidR="00743CE5" w:rsidRPr="00743CE5" w:rsidRDefault="00743CE5" w:rsidP="00743CE5">
            <w:pPr>
              <w:widowControl w:val="0"/>
              <w:tabs>
                <w:tab w:val="right" w:pos="1786"/>
                <w:tab w:val="left" w:pos="181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стерлингов</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Активы </w:t>
            </w:r>
          </w:p>
        </w:tc>
        <w:tc>
          <w:tcPr>
            <w:tcW w:w="128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18,882</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2,671</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15,737,178</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1,436,095</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4,432,791</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297,780</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1,454,977</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20,172,640</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297,780</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Обязательства </w:t>
            </w:r>
          </w:p>
        </w:tc>
        <w:tc>
          <w:tcPr>
            <w:tcW w:w="1281" w:type="dxa"/>
          </w:tcPr>
          <w:p w:rsidR="00743CE5" w:rsidRPr="00743CE5" w:rsidRDefault="00743CE5" w:rsidP="00743CE5">
            <w:pPr>
              <w:widowControl w:val="0"/>
              <w:tabs>
                <w:tab w:val="right" w:pos="1065"/>
              </w:tabs>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Pr>
          <w:p w:rsidR="00743CE5" w:rsidRPr="00743CE5" w:rsidRDefault="00743CE5" w:rsidP="00743CE5">
            <w:pPr>
              <w:widowControl w:val="0"/>
              <w:tabs>
                <w:tab w:val="right" w:pos="972"/>
              </w:tabs>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(205,777)</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(21,083)</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овердрафты</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(39)</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(205,816)</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(21,083)</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Чистая подверженность риску</w:t>
            </w:r>
          </w:p>
        </w:tc>
        <w:tc>
          <w:tcPr>
            <w:tcW w:w="1281" w:type="dxa"/>
          </w:tcPr>
          <w:p w:rsidR="00743CE5" w:rsidRPr="00743CE5" w:rsidRDefault="00743CE5" w:rsidP="00743CE5">
            <w:pPr>
              <w:widowControl w:val="0"/>
              <w:tabs>
                <w:tab w:val="right" w:pos="1065"/>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1,249,161</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972"/>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20,151,557</w:t>
            </w:r>
            <w:r w:rsidRPr="00743CE5">
              <w:rPr>
                <w:rFonts w:ascii="Tahoma" w:eastAsia="Times New Roman" w:hAnsi="Tahoma" w:cs="Tahoma"/>
                <w:color w:val="000000"/>
                <w:sz w:val="18"/>
                <w:szCs w:val="18"/>
                <w:lang w:eastAsia="ru-RU" w:bidi="ru-RU"/>
              </w:rPr>
              <w:tab/>
            </w:r>
          </w:p>
        </w:tc>
        <w:tc>
          <w:tcPr>
            <w:tcW w:w="1281" w:type="dxa"/>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297,780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5544"/>
        <w:gridCol w:w="1281"/>
        <w:gridCol w:w="1282"/>
        <w:gridCol w:w="1281"/>
      </w:tblGrid>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31 декабря 2012 г. </w:t>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Евро</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81"/>
                <w:tab w:val="left" w:pos="1207"/>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Российские рубли</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786"/>
                <w:tab w:val="left" w:pos="181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w:t>
            </w:r>
          </w:p>
          <w:p w:rsidR="00743CE5" w:rsidRPr="00743CE5" w:rsidRDefault="00743CE5" w:rsidP="00743CE5">
            <w:pPr>
              <w:widowControl w:val="0"/>
              <w:tabs>
                <w:tab w:val="right" w:pos="1786"/>
                <w:tab w:val="left" w:pos="181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стер</w:t>
            </w:r>
          </w:p>
          <w:p w:rsidR="00743CE5" w:rsidRPr="00743CE5" w:rsidRDefault="00743CE5" w:rsidP="00743CE5">
            <w:pPr>
              <w:widowControl w:val="0"/>
              <w:tabs>
                <w:tab w:val="right" w:pos="1786"/>
                <w:tab w:val="left" w:pos="1812"/>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лингов</w:t>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Активы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1,505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37,566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9,603,430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615,946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11,987,072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1,814</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617,451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21,628,068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1,814</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Обязательства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(104,283)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(14,391)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(96,276)</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(105,789,473)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(104,283)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(105,803,864)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(96,276)</w:t>
            </w:r>
            <w:r w:rsidRPr="00743CE5">
              <w:rPr>
                <w:rFonts w:ascii="Tahoma" w:eastAsia="Times New Roman" w:hAnsi="Tahoma" w:cs="Tahoma"/>
                <w:color w:val="000000"/>
                <w:sz w:val="18"/>
                <w:szCs w:val="18"/>
                <w:lang w:eastAsia="ru-RU" w:bidi="ru-RU"/>
              </w:rPr>
              <w:tab/>
            </w:r>
          </w:p>
        </w:tc>
      </w:tr>
      <w:tr w:rsidR="00743CE5" w:rsidRPr="00743CE5" w:rsidTr="00743CE5">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Чистая подверженность риску</w:t>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513,168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(84,175,796)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(94,462)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Анализ чувствительности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 состоянию на 31 декабря 2013 г., укрепление доллара США на 10% (2012 г.: 10%) относительно следующих валют привело бы к увеличению (уменьшению) капитала и прибыли или убытка на суммы, указанные ниже. Этот анализ основан на допущении о том, что все прочие переменные характеристики, в частности</w:t>
      </w:r>
      <w:proofErr w:type="gramStart"/>
      <w:r w:rsidRPr="00743CE5">
        <w:rPr>
          <w:rFonts w:ascii="Tahoma" w:eastAsia="Times New Roman" w:hAnsi="Tahoma" w:cs="Tahoma"/>
          <w:color w:val="000000"/>
          <w:sz w:val="18"/>
          <w:szCs w:val="18"/>
          <w:lang w:eastAsia="ru-RU" w:bidi="ru-RU"/>
        </w:rPr>
        <w:t>,</w:t>
      </w:r>
      <w:proofErr w:type="gramEnd"/>
      <w:r w:rsidRPr="00743CE5">
        <w:rPr>
          <w:rFonts w:ascii="Tahoma" w:eastAsia="Times New Roman" w:hAnsi="Tahoma" w:cs="Tahoma"/>
          <w:color w:val="000000"/>
          <w:sz w:val="18"/>
          <w:szCs w:val="18"/>
          <w:lang w:eastAsia="ru-RU" w:bidi="ru-RU"/>
        </w:rPr>
        <w:t xml:space="preserve"> процентные ставки, остаются неизменными. При снижении курса доллара США относительно соответствующей валюты на 10% будет наблюдаться аналогичный, но противоположный по знаку эффект на прибыль и капитал.</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Евро</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124,920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51,317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Фунтов стерлингов</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29,778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(9,446)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Российские рубли</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2,015,156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(8,417,580)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2,169,854</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(8,375,709)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 Управление финансовыми рисками (продолжение)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3.5 Управление риском капитала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Задачей Компании в области управления капиталом является обеспечение способности Компании продолжать непрерывную деятельность в целях сохранения доходности капитала для акционеров и поддержания оптимальной структуры капитала для снижения его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Для поддержания и регулирования структуры капитала Компания может варьировать сумму дивидендов, выплачиваемых акционерам, возвращать капитал акционерам или выпускать новые акции.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осуществляет </w:t>
      </w:r>
      <w:proofErr w:type="gramStart"/>
      <w:r w:rsidRPr="00743CE5">
        <w:rPr>
          <w:rFonts w:ascii="Tahoma" w:eastAsia="Times New Roman" w:hAnsi="Tahoma" w:cs="Tahoma"/>
          <w:color w:val="000000"/>
          <w:sz w:val="18"/>
          <w:szCs w:val="18"/>
          <w:lang w:eastAsia="ru-RU" w:bidi="ru-RU"/>
        </w:rPr>
        <w:t>контроль</w:t>
      </w:r>
      <w:proofErr w:type="gramEnd"/>
      <w:r w:rsidRPr="00743CE5">
        <w:rPr>
          <w:rFonts w:ascii="Tahoma" w:eastAsia="Times New Roman" w:hAnsi="Tahoma" w:cs="Tahoma"/>
          <w:color w:val="000000"/>
          <w:sz w:val="18"/>
          <w:szCs w:val="18"/>
          <w:lang w:eastAsia="ru-RU" w:bidi="ru-RU"/>
        </w:rPr>
        <w:t xml:space="preserve"> за капиталом исходя из соотношения собственных и заемных средств. Этот показатель рассчитывается путем деления чистой суммы задолженности на всю сумму капитала. Чистая сумма задолженности рассчитывается как сумма заемных средств, отраженная в консолидированном отчете о финансовом положении, минус средства в банке. Общая сумма капитала рассчитывается как сумма капитала, отражаемая в отчете о финансовом положении, плюс чистая задолженность.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о расчете соотношения собственных и заемных средств Компании представлена в таблице ниже: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Общая сумма заемных средств (Примечание 25)</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209,615,158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320,167,380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 вычетом денежных средств и их эквивалентов (Примечание 23)</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(2,614,659)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Чистая сумма долга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207,937,042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317,552,721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Итого капитал</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1,570,867,736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1,313,008,195</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 капитал</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1,778,804,778</w:t>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1,630,560,916</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Соотношение собственных и заемных средств</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11,7%</w:t>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19,5%</w:t>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4. Важные расчетные оценки и профессиональные суждения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Расчетные оценки и суждения постоянно анализируются на основе прошлого опыта и других факторов, включая ожидания в отношении будущих событий, которые, по мнению руководства, являются обоснованными в свете текущих обстоятельств.</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использует оценки и допущения в отношении будущей деятельности. Полученные расчетные оценки, по определению, редко совпадают с фактическими результатами. Ниже описаны оценки и допущения, которые с большой вероятностью могут привести к существенным корректировкам балансовой стоимости активов и обязательств в течение следующего финансового года.</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Оценка обесценения дебиторской задолженности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проводит анализ своей дебиторской задолженности по займам, а также торговой и прочей дебиторской задолженности на предмет обесценения. Такие доказательства включают документ контрагента об оплате и общее финансовое положение контрагента. При наличии признаков обесценения проводится оценка возмещаемой стоимости и при необходимости создается соответствующий резерв под обесценение. Сумма убытка от обесценения отражается в составе прибыли или убытка. Оценка кредитного риска осуществляется на постоянной основе, и допущения, используемые для оценки резерва, проходят регулярные проверки и корректируются соответственно.</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Налог на прибыль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Существенное суждение необходимо применять при создании резерва по налогу на прибыль. В ходе обычной деятельности существует операции и расчеты, для которых сложно определить итоговую сумму налогов. Компания признает обязательства в отношении фактов, которые могут быть выявлены в ходе налоговых проверок, основываясь на оценках необходимости уплаты дополнительных налогов. Если окончательное фактическое решение вопроса отличается </w:t>
      </w:r>
      <w:proofErr w:type="gramStart"/>
      <w:r w:rsidRPr="00743CE5">
        <w:rPr>
          <w:rFonts w:ascii="Tahoma" w:eastAsia="Times New Roman" w:hAnsi="Tahoma" w:cs="Tahoma"/>
          <w:color w:val="000000"/>
          <w:sz w:val="18"/>
          <w:szCs w:val="18"/>
          <w:lang w:eastAsia="ru-RU" w:bidi="ru-RU"/>
        </w:rPr>
        <w:t>от</w:t>
      </w:r>
      <w:proofErr w:type="gramEnd"/>
      <w:r w:rsidRPr="00743CE5">
        <w:rPr>
          <w:rFonts w:ascii="Tahoma" w:eastAsia="Times New Roman" w:hAnsi="Tahoma" w:cs="Tahoma"/>
          <w:color w:val="000000"/>
          <w:sz w:val="18"/>
          <w:szCs w:val="18"/>
          <w:lang w:eastAsia="ru-RU" w:bidi="ru-RU"/>
        </w:rPr>
        <w:t xml:space="preserve"> изначально ожидаемого, разница будет проведена через расходы по налогу на прибыль и отложенное налогообложение в том периоде, когда принято такое решение.</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4. Важные расчетные оценки и профессиональные суждения (продолжение)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Оценка финансовых активов по справедливой стоимости, изменения которой отражаются в составе прибыли или убытка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Компании, оцениваемые по справедливой стоимости, изменения которой отражаются в составе прибыли или убытка, представляют собой в основном инвестиции, не имеющие листинга на фондовой бирже. Информация о методах оценки и важных оценках представлена в Примечании 16.</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Функциональная валюта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Функциональная валюта Компании была определена исходя из экономических условий, лежащих в основе ее хозяйственной деятельности, которая представляет собой финансовую деятельность и </w:t>
      </w:r>
      <w:proofErr w:type="gramStart"/>
      <w:r w:rsidRPr="00743CE5">
        <w:rPr>
          <w:rFonts w:ascii="Tahoma" w:eastAsia="Times New Roman" w:hAnsi="Tahoma" w:cs="Tahoma"/>
          <w:color w:val="000000"/>
          <w:sz w:val="18"/>
          <w:szCs w:val="18"/>
          <w:lang w:eastAsia="ru-RU" w:bidi="ru-RU"/>
        </w:rPr>
        <w:t>покупку</w:t>
      </w:r>
      <w:proofErr w:type="gramEnd"/>
      <w:r w:rsidRPr="00743CE5">
        <w:rPr>
          <w:rFonts w:ascii="Tahoma" w:eastAsia="Times New Roman" w:hAnsi="Tahoma" w:cs="Tahoma"/>
          <w:color w:val="000000"/>
          <w:sz w:val="18"/>
          <w:szCs w:val="18"/>
          <w:lang w:eastAsia="ru-RU" w:bidi="ru-RU"/>
        </w:rPr>
        <w:t xml:space="preserve"> и продажу инвестиций или владение инвестициями. Для определения того, что является конкретными экономическими условиями деятельности, требуются профессиональные суждения. Данное суждение Компании основывается на оценке, помимо прочих факторов, места ведения деятельности, источников выручки и расходов и рисков, связанных с этой деятельностью. </w:t>
      </w:r>
      <w:r w:rsidRPr="00743CE5">
        <w:rPr>
          <w:rFonts w:ascii="Arial" w:eastAsia="Times New Roman" w:hAnsi="Arial" w:cs="Tahoma"/>
          <w:color w:val="000000"/>
          <w:sz w:val="18"/>
          <w:szCs w:val="18"/>
          <w:lang w:eastAsia="ru-RU" w:bidi="ru-RU"/>
        </w:rPr>
        <w:t xml:space="preserve">Компания заключила, что функциональной валютой является доллар США. Это валюта, в которой компания получает и инвестирует средства, хранит денежные средства, полученные от операционной деятельности, измеряет </w:t>
      </w:r>
      <w:proofErr w:type="gramStart"/>
      <w:r w:rsidRPr="00743CE5">
        <w:rPr>
          <w:rFonts w:ascii="Arial" w:eastAsia="Times New Roman" w:hAnsi="Arial" w:cs="Tahoma"/>
          <w:color w:val="000000"/>
          <w:sz w:val="18"/>
          <w:szCs w:val="18"/>
          <w:lang w:eastAsia="ru-RU" w:bidi="ru-RU"/>
        </w:rPr>
        <w:t>бизнес-риски</w:t>
      </w:r>
      <w:proofErr w:type="gramEnd"/>
      <w:r w:rsidRPr="00743CE5">
        <w:rPr>
          <w:rFonts w:ascii="Arial" w:eastAsia="Times New Roman" w:hAnsi="Arial" w:cs="Tahoma"/>
          <w:color w:val="000000"/>
          <w:sz w:val="18"/>
          <w:szCs w:val="18"/>
          <w:lang w:eastAsia="ru-RU" w:bidi="ru-RU"/>
        </w:rPr>
        <w:t xml:space="preserve"> и оценивает результаты деятельности.</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5. Процентные доходы </w:t>
      </w:r>
    </w:p>
    <w:tbl>
      <w:tblPr>
        <w:tblW w:w="9464" w:type="dxa"/>
        <w:tblLayout w:type="fixed"/>
        <w:tblLook w:val="0000" w:firstRow="0" w:lastRow="0" w:firstColumn="0" w:lastColumn="0" w:noHBand="0" w:noVBand="0"/>
      </w:tblPr>
      <w:tblGrid>
        <w:gridCol w:w="5103"/>
        <w:gridCol w:w="1384"/>
        <w:gridCol w:w="1559"/>
        <w:gridCol w:w="1418"/>
      </w:tblGrid>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8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8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8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 остаткам на банковских счетах</w:t>
            </w:r>
          </w:p>
        </w:tc>
        <w:tc>
          <w:tcPr>
            <w:tcW w:w="138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10,390</w:t>
            </w:r>
          </w:p>
        </w:tc>
        <w:tc>
          <w:tcPr>
            <w:tcW w:w="141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полученные от третьих сторон</w:t>
            </w:r>
          </w:p>
        </w:tc>
        <w:tc>
          <w:tcPr>
            <w:tcW w:w="138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1,455,416</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159,901</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полученные от связанных сторон (Примечание 28.2)</w:t>
            </w:r>
          </w:p>
        </w:tc>
        <w:tc>
          <w:tcPr>
            <w:tcW w:w="138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11,803,409</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27,252,611</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38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13,269,215</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27,412,512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6. Прочие доходы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56" w:type="dxa"/>
        <w:tblLayout w:type="fixed"/>
        <w:tblLook w:val="0000" w:firstRow="0" w:lastRow="0" w:firstColumn="0" w:lastColumn="0" w:noHBand="0" w:noVBand="0"/>
      </w:tblPr>
      <w:tblGrid>
        <w:gridCol w:w="6379"/>
        <w:gridCol w:w="1559"/>
        <w:gridCol w:w="1418"/>
      </w:tblGrid>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8"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агентского вознаграждения</w:t>
            </w: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637,500</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перевыставления расходов дочерним предприятиям (Примечание 28.10)</w:t>
            </w: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3,461,480</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Прочие доходы</w:t>
            </w: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4,098,980</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7. (Убыток)/прибыль от инвестиционной деятельности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464" w:type="dxa"/>
        <w:tblLayout w:type="fixed"/>
        <w:tblLook w:val="0000" w:firstRow="0" w:lastRow="0" w:firstColumn="0" w:lastColumn="0" w:noHBand="0" w:noVBand="0"/>
      </w:tblPr>
      <w:tblGrid>
        <w:gridCol w:w="6487"/>
        <w:gridCol w:w="1559"/>
        <w:gridCol w:w="1418"/>
      </w:tblGrid>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(расходы)/доходы от выбытия активов, оцениваемых по справедливой стоимости, изменения которой отражаются в составе прибыли или убытка (а)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(15,118,055)</w:t>
            </w: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3,209,345</w:t>
            </w: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(Убыток)/прибыль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 (Примечание 17)</w:t>
            </w: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p>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(340,531,740)</w:t>
            </w:r>
            <w:r w:rsidRPr="00743CE5">
              <w:rPr>
                <w:rFonts w:ascii="Tahoma" w:eastAsia="Times New Roman" w:hAnsi="Tahoma" w:cs="Tahoma"/>
                <w:color w:val="000000"/>
                <w:sz w:val="18"/>
                <w:szCs w:val="18"/>
                <w:lang w:eastAsia="ru-RU" w:bidi="ru-RU"/>
              </w:rPr>
              <w:tab/>
            </w:r>
          </w:p>
        </w:tc>
        <w:tc>
          <w:tcPr>
            <w:tcW w:w="1418" w:type="dxa"/>
          </w:tcPr>
          <w:p w:rsidR="00743CE5" w:rsidRPr="00743CE5" w:rsidRDefault="00743CE5" w:rsidP="00743CE5">
            <w:pPr>
              <w:widowControl w:val="0"/>
              <w:tabs>
                <w:tab w:val="right" w:pos="106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p w:rsidR="00743CE5" w:rsidRPr="00743CE5" w:rsidRDefault="00743CE5" w:rsidP="00743CE5">
            <w:pPr>
              <w:widowControl w:val="0"/>
              <w:tabs>
                <w:tab w:val="right" w:pos="106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332,558,264</w:t>
            </w: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Прибыль/(убыток) от изменения справедливой стоимости производных финансовых инструментов</w:t>
            </w: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5,473,917</w:t>
            </w:r>
          </w:p>
        </w:tc>
        <w:tc>
          <w:tcPr>
            <w:tcW w:w="1418"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(4,132,420)</w:t>
            </w:r>
          </w:p>
        </w:tc>
      </w:tr>
      <w:tr w:rsidR="00743CE5" w:rsidRPr="00743CE5" w:rsidTr="00743CE5">
        <w:tc>
          <w:tcPr>
            <w:tcW w:w="6487"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(350,175,878)</w:t>
            </w:r>
          </w:p>
        </w:tc>
        <w:tc>
          <w:tcPr>
            <w:tcW w:w="1418"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u w:val="double"/>
                <w:lang w:eastAsia="ru-RU" w:bidi="ru-RU"/>
              </w:rPr>
            </w:pPr>
            <w:r w:rsidRPr="00743CE5">
              <w:rPr>
                <w:rFonts w:ascii="Tahoma" w:eastAsia="Times New Roman" w:hAnsi="Tahoma" w:cs="Tahoma"/>
                <w:color w:val="000000"/>
                <w:sz w:val="18"/>
                <w:szCs w:val="18"/>
                <w:u w:val="double"/>
                <w:lang w:eastAsia="ru-RU" w:bidi="ru-RU"/>
              </w:rPr>
              <w:t xml:space="preserve">   331,635,189</w:t>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7. (Убыток)/прибыль от инвестиционной деятельности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7"/>
        </w:numPr>
        <w:autoSpaceDE w:val="0"/>
        <w:autoSpaceDN w:val="0"/>
        <w:adjustRightInd w:val="0"/>
        <w:spacing w:after="0" w:line="240" w:lineRule="auto"/>
        <w:rPr>
          <w:rFonts w:ascii="Tahoma" w:eastAsia="Times New Roman" w:hAnsi="Tahoma" w:cs="Tahoma"/>
          <w:i/>
          <w:color w:val="000000"/>
          <w:sz w:val="18"/>
          <w:szCs w:val="18"/>
          <w:lang w:eastAsia="ru-RU" w:bidi="ru-RU"/>
        </w:rPr>
      </w:pPr>
      <w:r w:rsidRPr="00743CE5">
        <w:rPr>
          <w:rFonts w:ascii="Tahoma" w:eastAsia="Times New Roman" w:hAnsi="Tahoma" w:cs="Tahoma"/>
          <w:b/>
          <w:i/>
          <w:color w:val="000000"/>
          <w:sz w:val="18"/>
          <w:szCs w:val="18"/>
          <w:lang w:eastAsia="ru-RU" w:bidi="ru-RU"/>
        </w:rPr>
        <w:t>Чистые (расходы)/доходы от выбытия активов, оцениваемых по справедливой стоимости, изменения которой отражаются в составе прибыли или убытка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2012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2012 года Компания продала 100% акций в капитале ЗАО «Большевик» ЗАО «Финкомавто». Полученный убыток составил 3 045 тысяч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2012 года Компания продала 100% акций в капитале Collins Crest Limited компании Glorem Trading Limited. Полученная прибыль составила 6 294 тысячи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течение 2012 года акции в капитале Horus Capital и Brightlink Investments Limited были проданы. В </w:t>
      </w:r>
      <w:proofErr w:type="gramStart"/>
      <w:r w:rsidRPr="00743CE5">
        <w:rPr>
          <w:rFonts w:ascii="Tahoma" w:eastAsia="Times New Roman" w:hAnsi="Tahoma" w:cs="Tahoma"/>
          <w:color w:val="000000"/>
          <w:sz w:val="18"/>
          <w:szCs w:val="18"/>
          <w:lang w:eastAsia="ru-RU" w:bidi="ru-RU"/>
        </w:rPr>
        <w:t>результате</w:t>
      </w:r>
      <w:proofErr w:type="gramEnd"/>
      <w:r w:rsidRPr="00743CE5">
        <w:rPr>
          <w:rFonts w:ascii="Tahoma" w:eastAsia="Times New Roman" w:hAnsi="Tahoma" w:cs="Tahoma"/>
          <w:color w:val="000000"/>
          <w:sz w:val="18"/>
          <w:szCs w:val="18"/>
          <w:lang w:eastAsia="ru-RU" w:bidi="ru-RU"/>
        </w:rPr>
        <w:t xml:space="preserve"> был признан чистый убыток в размере 40 тысяч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2013 году была отменена продажа акций Collins Crest Limited. В </w:t>
      </w:r>
      <w:proofErr w:type="gramStart"/>
      <w:r w:rsidRPr="00743CE5">
        <w:rPr>
          <w:rFonts w:ascii="Tahoma" w:eastAsia="Times New Roman" w:hAnsi="Tahoma" w:cs="Tahoma"/>
          <w:color w:val="000000"/>
          <w:sz w:val="18"/>
          <w:szCs w:val="18"/>
          <w:lang w:eastAsia="ru-RU" w:bidi="ru-RU"/>
        </w:rPr>
        <w:t>результате</w:t>
      </w:r>
      <w:proofErr w:type="gramEnd"/>
      <w:r w:rsidRPr="00743CE5">
        <w:rPr>
          <w:rFonts w:ascii="Tahoma" w:eastAsia="Times New Roman" w:hAnsi="Tahoma" w:cs="Tahoma"/>
          <w:color w:val="000000"/>
          <w:sz w:val="18"/>
          <w:szCs w:val="18"/>
          <w:lang w:eastAsia="ru-RU" w:bidi="ru-RU"/>
        </w:rPr>
        <w:t xml:space="preserve"> Компания понесла убыток в сумме 6 294 тысячи долларов США, сторнировав прибыль, признанную в 2012 году.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2013 году Компания продала 100% акций в капитале Xeroma Management Limited компании Bellrun Limited и понесла убыток в сумме 8 824 тысячи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8. Расходы по элементам затрат</w:t>
      </w:r>
      <w:r w:rsidRPr="00743CE5">
        <w:rPr>
          <w:rFonts w:ascii="Tahoma" w:eastAsia="Times New Roman" w:hAnsi="Tahoma" w:cs="Tahoma"/>
          <w:b/>
          <w:bCs/>
          <w:i/>
          <w:color w:val="FF0000"/>
          <w:sz w:val="18"/>
          <w:szCs w:val="18"/>
          <w:lang w:eastAsia="ru-RU" w:bidi="ru-RU"/>
        </w:rPr>
        <w:t xml:space="preserve"> </w:t>
      </w:r>
      <w:r w:rsidRPr="00743CE5">
        <w:rPr>
          <w:rFonts w:ascii="Tahoma" w:eastAsia="Times New Roman" w:hAnsi="Tahoma" w:cs="Tahoma"/>
          <w:b/>
          <w:bCs/>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5103"/>
        <w:gridCol w:w="1411"/>
        <w:gridCol w:w="1411"/>
        <w:gridCol w:w="1281"/>
      </w:tblGrid>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основанное на акциях: план выплат долевыми инструментами (Примечание 28.1)</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5,329,321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основанное на акциях: план выплат денежными средствами (Примечание 28.1)</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11,000</w:t>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Плата за профессиональные услуги</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5,295,401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2,502,042</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юридическое сопровождение</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1,085,357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1,570,635</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 (Примечание 28.1)</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695,018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643,472</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Вознаграждение аудиторов </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538,862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406,400</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Командировочные расходы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398,220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139,069</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управляющих</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357,347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870,564</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Маркетинг и стимулирование продаж</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333,761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250,743</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Гербовый сбор</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155,830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123,792</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сертификацию и легализацию</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72,475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94,931</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Представительские расходы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70,173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35,044</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Пожертвования, не относящиеся к благотворительности</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55,620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расходы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43,018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Страхование</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31,103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29,265</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Штрафы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15,932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подписку и взносы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10,082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обслуживание</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4,831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уборку помещений</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1,399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проезд и проживание внутри страны</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525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связь и почтовые услуги</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Агентское вознаграждение</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9,080,750</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Ремонт и эксплуатация</w:t>
            </w:r>
          </w:p>
        </w:tc>
        <w:tc>
          <w:tcPr>
            <w:tcW w:w="141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Пожертвования, не относящиеся к благотворительности</w:t>
            </w:r>
          </w:p>
        </w:tc>
        <w:tc>
          <w:tcPr>
            <w:tcW w:w="141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Вознаграждения за прочие профессиональные услуги </w:t>
            </w:r>
            <w:r w:rsidRPr="00743CE5">
              <w:rPr>
                <w:rFonts w:ascii="Tahoma" w:eastAsia="Times New Roman" w:hAnsi="Tahoma" w:cs="Tahoma"/>
                <w:color w:val="000000"/>
                <w:sz w:val="18"/>
                <w:szCs w:val="18"/>
                <w:lang w:eastAsia="ru-RU" w:bidi="ru-RU"/>
              </w:rPr>
              <w:noBreakHyphen/>
              <w:t xml:space="preserve"> расходы на IPO</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3,865,785</w:t>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p>
        </w:tc>
      </w:tr>
      <w:tr w:rsidR="00743CE5" w:rsidRPr="00743CE5" w:rsidTr="00743CE5">
        <w:tc>
          <w:tcPr>
            <w:tcW w:w="5103"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14,494,400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19,623,492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8. Расходы по элементам затрат</w:t>
      </w:r>
      <w:r w:rsidRPr="00743CE5">
        <w:rPr>
          <w:rFonts w:ascii="Tahoma" w:eastAsia="Times New Roman" w:hAnsi="Tahoma" w:cs="Tahoma"/>
          <w:b/>
          <w:bCs/>
          <w:i/>
          <w:color w:val="FF0000"/>
          <w:sz w:val="18"/>
          <w:szCs w:val="18"/>
          <w:lang w:eastAsia="ru-RU" w:bidi="ru-RU"/>
        </w:rPr>
        <w:t xml:space="preserve"> </w:t>
      </w:r>
      <w:r w:rsidRPr="00743CE5">
        <w:rPr>
          <w:rFonts w:ascii="Tahoma" w:eastAsia="Times New Roman" w:hAnsi="Tahoma" w:cs="Tahoma"/>
          <w:b/>
          <w:bCs/>
          <w:color w:val="000000"/>
          <w:sz w:val="18"/>
          <w:szCs w:val="18"/>
          <w:lang w:eastAsia="ru-RU" w:bidi="ru-RU"/>
        </w:rPr>
        <w:t xml:space="preserve">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Указанные выше операционные расходы включают вознаграждение в размере 90 338 долларов США (2012 г.: 2 357 долларов США) за услуги по налоговому консультированию и 300 857 долларов США (2012 г.: 1 013 803 доллара США) за прочие аудиторские услуги, начисленное фирмой, выполняющей обязательный аудит Компании.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9. Прочие расходы</w:t>
      </w:r>
      <w:r w:rsidRPr="00743CE5">
        <w:rPr>
          <w:rFonts w:ascii="Tahoma" w:eastAsia="Times New Roman" w:hAnsi="Tahoma" w:cs="Tahoma"/>
          <w:b/>
          <w:bCs/>
          <w:i/>
          <w:color w:val="FF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22" w:type="dxa"/>
        <w:tblLayout w:type="fixed"/>
        <w:tblLook w:val="0000" w:firstRow="0" w:lastRow="0" w:firstColumn="0" w:lastColumn="0" w:noHBand="0" w:noVBand="0"/>
      </w:tblPr>
      <w:tblGrid>
        <w:gridCol w:w="5387"/>
        <w:gridCol w:w="1411"/>
        <w:gridCol w:w="1248"/>
        <w:gridCol w:w="1276"/>
      </w:tblGrid>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4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248"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48"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Чистый убыток по операциям с иностранной валютой</w:t>
            </w: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48"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1,705,505</w:t>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1,619,164</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от обесценения остатков на банковских счетах</w:t>
            </w: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48"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658,548</w:t>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48"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2,364,053</w:t>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1,619,164</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10. Вознаграждение старшему руководящему персоналу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Layout w:type="fixed"/>
        <w:tblLook w:val="0000" w:firstRow="0" w:lastRow="0" w:firstColumn="0" w:lastColumn="0" w:noHBand="0" w:noVBand="0"/>
      </w:tblPr>
      <w:tblGrid>
        <w:gridCol w:w="5387"/>
        <w:gridCol w:w="1411"/>
        <w:gridCol w:w="1140"/>
        <w:gridCol w:w="1276"/>
      </w:tblGrid>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14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40"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14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Вознаграждение, основанное на акциях – план выплат долевыми инструментами  </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14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5,329,321</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Вознаграждение, основанное на акциях – план выплат денежными средствами </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14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11,000</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 за исполнительную деятельность</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14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695,018</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643,472</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140"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6,024,339</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u w:val="double"/>
                <w:lang w:eastAsia="ru-RU" w:bidi="ru-RU"/>
              </w:rPr>
              <w:t xml:space="preserve">  654,472</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11. Финансовые расходы</w:t>
      </w:r>
      <w:r w:rsidRPr="00743CE5">
        <w:rPr>
          <w:rFonts w:ascii="Tahoma" w:eastAsia="Times New Roman" w:hAnsi="Tahoma" w:cs="Tahoma"/>
          <w:b/>
          <w:bCs/>
          <w:color w:val="FF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491" w:type="dxa"/>
        <w:tblLayout w:type="fixed"/>
        <w:tblLook w:val="0000" w:firstRow="0" w:lastRow="0" w:firstColumn="0" w:lastColumn="0" w:noHBand="0" w:noVBand="0"/>
      </w:tblPr>
      <w:tblGrid>
        <w:gridCol w:w="5387"/>
        <w:gridCol w:w="1411"/>
        <w:gridCol w:w="1411"/>
        <w:gridCol w:w="1282"/>
      </w:tblGrid>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rPr>
          <w:trHeight w:val="236"/>
        </w:trPr>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Процентные расходы и прочие финансовые расходы</w:t>
            </w: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расходы по заемным средствам</w:t>
            </w: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27,495,655</w:t>
            </w:r>
          </w:p>
        </w:tc>
        <w:tc>
          <w:tcPr>
            <w:tcW w:w="1282"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32,315,295</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Банковская комиссия</w:t>
            </w: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bottom w:val="single" w:sz="4" w:space="0" w:color="auto"/>
            </w:tcBorders>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144,900</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106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167,003</w:t>
            </w:r>
            <w:r w:rsidRPr="00743CE5">
              <w:rPr>
                <w:rFonts w:ascii="Tahoma" w:eastAsia="Times New Roman" w:hAnsi="Tahoma" w:cs="Tahoma"/>
                <w:color w:val="000000"/>
                <w:sz w:val="18"/>
                <w:szCs w:val="18"/>
                <w:lang w:eastAsia="ru-RU" w:bidi="ru-RU"/>
              </w:rPr>
              <w:tab/>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27,640,555</w:t>
            </w:r>
          </w:p>
        </w:tc>
        <w:tc>
          <w:tcPr>
            <w:tcW w:w="1282"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32,482,298</w:t>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highlight w:val="yellow"/>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highlight w:val="yellow"/>
                <w:u w:val="single"/>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highlight w:val="yellow"/>
                <w:u w:val="single"/>
                <w:lang w:eastAsia="ru-RU" w:bidi="ru-RU"/>
              </w:rPr>
            </w:pPr>
          </w:p>
        </w:tc>
        <w:tc>
          <w:tcPr>
            <w:tcW w:w="128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highlight w:val="yellow"/>
                <w:u w:val="single"/>
                <w:lang w:eastAsia="ru-RU" w:bidi="ru-RU"/>
              </w:rPr>
            </w:pPr>
          </w:p>
        </w:tc>
      </w:tr>
      <w:tr w:rsidR="00743CE5" w:rsidRPr="00743CE5" w:rsidTr="00743CE5">
        <w:tc>
          <w:tcPr>
            <w:tcW w:w="6798" w:type="dxa"/>
            <w:gridSpan w:val="2"/>
          </w:tcPr>
          <w:p w:rsidR="00743CE5" w:rsidRPr="00743CE5" w:rsidRDefault="00743CE5" w:rsidP="00743CE5">
            <w:pPr>
              <w:widowControl w:val="0"/>
              <w:tabs>
                <w:tab w:val="right" w:pos="1195"/>
                <w:tab w:val="left" w:pos="1332"/>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Чистая (прибыль)/убыток от </w:t>
            </w:r>
            <w:proofErr w:type="gramStart"/>
            <w:r w:rsidRPr="00743CE5">
              <w:rPr>
                <w:rFonts w:ascii="Tahoma" w:eastAsia="Times New Roman" w:hAnsi="Tahoma" w:cs="Tahoma"/>
                <w:b/>
                <w:color w:val="000000"/>
                <w:sz w:val="18"/>
                <w:szCs w:val="18"/>
                <w:lang w:eastAsia="ru-RU" w:bidi="ru-RU"/>
              </w:rPr>
              <w:t>курсовых</w:t>
            </w:r>
            <w:proofErr w:type="gramEnd"/>
            <w:r w:rsidRPr="00743CE5">
              <w:rPr>
                <w:rFonts w:ascii="Tahoma" w:eastAsia="Times New Roman" w:hAnsi="Tahoma" w:cs="Tahoma"/>
                <w:b/>
                <w:color w:val="000000"/>
                <w:sz w:val="18"/>
                <w:szCs w:val="18"/>
                <w:lang w:eastAsia="ru-RU" w:bidi="ru-RU"/>
              </w:rPr>
              <w:t xml:space="preserve"> разниц по финансовой деятельности </w:t>
            </w:r>
          </w:p>
        </w:tc>
        <w:tc>
          <w:tcPr>
            <w:tcW w:w="1411" w:type="dxa"/>
          </w:tcPr>
          <w:p w:rsidR="00743CE5" w:rsidRPr="00743CE5" w:rsidRDefault="00743CE5" w:rsidP="00743CE5">
            <w:pPr>
              <w:widowControl w:val="0"/>
              <w:tabs>
                <w:tab w:val="right" w:pos="1195"/>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(7,193,070)</w:t>
            </w:r>
            <w:r w:rsidRPr="00743CE5">
              <w:rPr>
                <w:rFonts w:ascii="Tahoma" w:eastAsia="Times New Roman" w:hAnsi="Tahoma" w:cs="Tahoma"/>
                <w:color w:val="000000"/>
                <w:sz w:val="18"/>
                <w:szCs w:val="18"/>
                <w:lang w:eastAsia="ru-RU" w:bidi="ru-RU"/>
              </w:rPr>
              <w:tab/>
            </w:r>
          </w:p>
        </w:tc>
        <w:tc>
          <w:tcPr>
            <w:tcW w:w="1282" w:type="dxa"/>
          </w:tcPr>
          <w:p w:rsidR="00743CE5" w:rsidRPr="00743CE5" w:rsidRDefault="00743CE5" w:rsidP="00743CE5">
            <w:pPr>
              <w:widowControl w:val="0"/>
              <w:tabs>
                <w:tab w:val="right" w:pos="106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1,031,752</w:t>
            </w:r>
            <w:r w:rsidRPr="00743CE5">
              <w:rPr>
                <w:rFonts w:ascii="Tahoma" w:eastAsia="Times New Roman" w:hAnsi="Tahoma" w:cs="Tahoma"/>
                <w:color w:val="000000"/>
                <w:sz w:val="18"/>
                <w:szCs w:val="18"/>
                <w:lang w:eastAsia="ru-RU" w:bidi="ru-RU"/>
              </w:rPr>
              <w:tab/>
            </w:r>
          </w:p>
        </w:tc>
      </w:tr>
      <w:tr w:rsidR="00743CE5" w:rsidRPr="00743CE5" w:rsidTr="00743CE5">
        <w:tc>
          <w:tcPr>
            <w:tcW w:w="5387"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20,447,485</w:t>
            </w:r>
          </w:p>
        </w:tc>
        <w:tc>
          <w:tcPr>
            <w:tcW w:w="1282"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33,514,050</w:t>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12. Налогообложение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12.1 Налоги, признанные в составе прибыли или убытка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Layout w:type="fixed"/>
        <w:tblLook w:val="0000" w:firstRow="0" w:lastRow="0" w:firstColumn="0" w:lastColumn="0" w:noHBand="0" w:noVBand="0"/>
      </w:tblPr>
      <w:tblGrid>
        <w:gridCol w:w="6663"/>
        <w:gridCol w:w="1417"/>
        <w:gridCol w:w="1276"/>
      </w:tblGrid>
      <w:tr w:rsidR="00743CE5" w:rsidRPr="00743CE5" w:rsidTr="00743CE5">
        <w:tc>
          <w:tcPr>
            <w:tcW w:w="666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Взнос на нужды обороны </w:t>
            </w: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3,121</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Налог на прибыль </w:t>
            </w:r>
            <w:r w:rsidRPr="00743CE5">
              <w:rPr>
                <w:rFonts w:ascii="Tahoma" w:eastAsia="Times New Roman" w:hAnsi="Tahoma" w:cs="Tahoma"/>
                <w:color w:val="000000"/>
                <w:sz w:val="18"/>
                <w:szCs w:val="18"/>
                <w:lang w:eastAsia="ru-RU" w:bidi="ru-RU"/>
              </w:rPr>
              <w:noBreakHyphen/>
              <w:t xml:space="preserve"> текущий год</w:t>
            </w: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3"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p>
        </w:tc>
      </w:tr>
      <w:tr w:rsidR="00743CE5" w:rsidRPr="00743CE5" w:rsidTr="00743CE5">
        <w:tc>
          <w:tcPr>
            <w:tcW w:w="6663"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Начислено за год</w:t>
            </w: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3,121</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12. Налогообложение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 Компании до налогообложения отличается от теоретической суммы, которая была бы получена в случае применения действующих процентных ставок:</w:t>
      </w:r>
    </w:p>
    <w:tbl>
      <w:tblPr>
        <w:tblW w:w="0" w:type="auto"/>
        <w:tblLayout w:type="fixed"/>
        <w:tblLook w:val="0000" w:firstRow="0" w:lastRow="0" w:firstColumn="0" w:lastColumn="0" w:noHBand="0" w:noVBand="0"/>
      </w:tblPr>
      <w:tblGrid>
        <w:gridCol w:w="6345"/>
        <w:gridCol w:w="1735"/>
        <w:gridCol w:w="1276"/>
      </w:tblGrid>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735"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(Убыток)/прибыль до налогообложения</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(121,913,048)</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304,290,995</w:t>
            </w:r>
            <w:r w:rsidRPr="00743CE5">
              <w:rPr>
                <w:rFonts w:ascii="Tahoma" w:eastAsia="Times New Roman" w:hAnsi="Tahoma" w:cs="Tahoma"/>
                <w:color w:val="000000"/>
                <w:sz w:val="18"/>
                <w:szCs w:val="18"/>
                <w:lang w:eastAsia="ru-RU" w:bidi="ru-RU"/>
              </w:rPr>
              <w:tab/>
            </w:r>
          </w:p>
        </w:tc>
      </w:tr>
      <w:tr w:rsidR="00743CE5" w:rsidRPr="00743CE5" w:rsidTr="00743CE5">
        <w:tc>
          <w:tcPr>
            <w:tcW w:w="6345" w:type="dxa"/>
          </w:tcPr>
          <w:p w:rsidR="00743CE5" w:rsidRPr="00743CE5" w:rsidDel="005D6779"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рассчитанный на основе действующих налоговых ставок 12,5% (2012 г.: 10%)</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(15,239,131)</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30,429,100</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и убытки, не уменьшающие налогооблагаемую базу</w:t>
            </w:r>
          </w:p>
        </w:tc>
        <w:tc>
          <w:tcPr>
            <w:tcW w:w="1735" w:type="dxa"/>
          </w:tcPr>
          <w:p w:rsidR="00743CE5" w:rsidRPr="00743CE5" w:rsidRDefault="00743CE5" w:rsidP="00743CE5">
            <w:pPr>
              <w:widowControl w:val="0"/>
              <w:tabs>
                <w:tab w:val="right" w:pos="953"/>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 xml:space="preserve"> 49,825,121</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3,444,631</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Необлагаемые доходы и прибыль</w:t>
            </w:r>
          </w:p>
        </w:tc>
        <w:tc>
          <w:tcPr>
            <w:tcW w:w="1735" w:type="dxa"/>
          </w:tcPr>
          <w:p w:rsidR="00743CE5" w:rsidRPr="00743CE5" w:rsidRDefault="00743CE5" w:rsidP="00743CE5">
            <w:pPr>
              <w:widowControl w:val="0"/>
              <w:tabs>
                <w:tab w:val="left" w:pos="1378"/>
              </w:tabs>
              <w:autoSpaceDE w:val="0"/>
              <w:autoSpaceDN w:val="0"/>
              <w:adjustRightInd w:val="0"/>
              <w:spacing w:after="0" w:line="240" w:lineRule="auto"/>
              <w:ind w:right="90"/>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(33,437,958)</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(33,837,334)</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Использование налоговых убытков </w:t>
            </w:r>
          </w:p>
        </w:tc>
        <w:tc>
          <w:tcPr>
            <w:tcW w:w="1735" w:type="dxa"/>
          </w:tcPr>
          <w:p w:rsidR="00743CE5" w:rsidRPr="00743CE5" w:rsidRDefault="00743CE5" w:rsidP="00743CE5">
            <w:pPr>
              <w:widowControl w:val="0"/>
              <w:tabs>
                <w:tab w:val="right" w:pos="133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(1,148,032)</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(36,397)</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Взнос на нужды обороны </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3,121</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p>
        </w:tc>
      </w:tr>
      <w:tr w:rsidR="00743CE5" w:rsidRPr="00743CE5" w:rsidTr="00743CE5">
        <w:tc>
          <w:tcPr>
            <w:tcW w:w="6345"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Налоговые отчисления</w:t>
            </w:r>
          </w:p>
        </w:tc>
        <w:tc>
          <w:tcPr>
            <w:tcW w:w="1735"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3,121</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 конца 2012 года прибыль Компании облагалась налогом на прибыль по ставке 10%. С 1 января 2013 года ставка налога на прибыль была увеличена до 12,5%.</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и непосредственно принадлежащие ей дочерние предприятия не получали каких-либо окончательных перерасчетов налогов.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br/>
        <w:t xml:space="preserve">В </w:t>
      </w:r>
      <w:proofErr w:type="gramStart"/>
      <w:r w:rsidRPr="00743CE5">
        <w:rPr>
          <w:rFonts w:ascii="Tahoma" w:eastAsia="Times New Roman" w:hAnsi="Tahoma" w:cs="Tahoma"/>
          <w:color w:val="000000"/>
          <w:sz w:val="18"/>
          <w:szCs w:val="18"/>
          <w:lang w:eastAsia="ru-RU" w:bidi="ru-RU"/>
        </w:rPr>
        <w:t>соответствии</w:t>
      </w:r>
      <w:proofErr w:type="gramEnd"/>
      <w:r w:rsidRPr="00743CE5">
        <w:rPr>
          <w:rFonts w:ascii="Tahoma" w:eastAsia="Times New Roman" w:hAnsi="Tahoma" w:cs="Tahoma"/>
          <w:color w:val="000000"/>
          <w:sz w:val="18"/>
          <w:szCs w:val="18"/>
          <w:lang w:eastAsia="ru-RU" w:bidi="ru-RU"/>
        </w:rPr>
        <w:t xml:space="preserve"> с действующим налоговым законодательством налоговые убытки могут переноситься на будущий период и засчитываться против налогооблагаемого дохода следующих пяти лет.</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 1 января 2009 года в некоторых случаях процентный доход может быть освобожден от налога на прибыль и облагается только специальным сбором на нужды обороны по ставке 10%; с 31 августа 2011 года ставка увеличена до 15%, а с 29 апреля 2013 года - увеличена до 30%.</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ряде</w:t>
      </w:r>
      <w:proofErr w:type="gramEnd"/>
      <w:r w:rsidRPr="00743CE5">
        <w:rPr>
          <w:rFonts w:ascii="Tahoma" w:eastAsia="Times New Roman" w:hAnsi="Tahoma" w:cs="Tahoma"/>
          <w:color w:val="000000"/>
          <w:sz w:val="18"/>
          <w:szCs w:val="18"/>
          <w:lang w:eastAsia="ru-RU" w:bidi="ru-RU"/>
        </w:rPr>
        <w:t xml:space="preserve"> случаев дивиденды, полученные из-за рубежа, могут облагаться специальным сбором на нужды обороны по ставке 15%, которая была увеличена до 17% с 31 августа 2011 года и до 20% с 1 января 2012 года по 31 декабря 2013 года, снижена до 17% с 1 января 2014 года.  В </w:t>
      </w:r>
      <w:proofErr w:type="gramStart"/>
      <w:r w:rsidRPr="00743CE5">
        <w:rPr>
          <w:rFonts w:ascii="Tahoma" w:eastAsia="Times New Roman" w:hAnsi="Tahoma" w:cs="Tahoma"/>
          <w:color w:val="000000"/>
          <w:sz w:val="18"/>
          <w:szCs w:val="18"/>
          <w:lang w:eastAsia="ru-RU" w:bidi="ru-RU"/>
        </w:rPr>
        <w:t>ряде</w:t>
      </w:r>
      <w:proofErr w:type="gramEnd"/>
      <w:r w:rsidRPr="00743CE5">
        <w:rPr>
          <w:rFonts w:ascii="Tahoma" w:eastAsia="Times New Roman" w:hAnsi="Tahoma" w:cs="Tahoma"/>
          <w:color w:val="000000"/>
          <w:sz w:val="18"/>
          <w:szCs w:val="18"/>
          <w:lang w:eastAsia="ru-RU" w:bidi="ru-RU"/>
        </w:rPr>
        <w:t xml:space="preserve"> случаев дивиденды, полученные с 1 января 2012 года и после этой даты от прочих компаний - налоговых резидентов Кипра, также могут облагаться специальным сбором на нужды обороны.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Прибыль от выбытия отвечающих определенным условиям прав собственности (включая акции, облигации, долговые обязательства, права на них и т.п.) освобождены от кипрского налога на прибыль организаций.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Arial" w:eastAsia="Times New Roman" w:hAnsi="Arial" w:cs="Tahoma"/>
          <w:color w:val="000000"/>
          <w:sz w:val="18"/>
          <w:szCs w:val="18"/>
          <w:lang w:eastAsia="ru-RU" w:bidi="ru-RU"/>
        </w:rPr>
        <w:t>Доход по дивидендам освобожден от кипрского налога на прибыль организаций.</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13. Дивиденды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Layout w:type="fixed"/>
        <w:tblLook w:val="0000" w:firstRow="0" w:lastRow="0" w:firstColumn="0" w:lastColumn="0" w:noHBand="0" w:noVBand="0"/>
      </w:tblPr>
      <w:tblGrid>
        <w:gridCol w:w="6379"/>
        <w:gridCol w:w="1418"/>
        <w:gridCol w:w="1417"/>
      </w:tblGrid>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8"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37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w:t>
            </w:r>
          </w:p>
        </w:tc>
        <w:tc>
          <w:tcPr>
            <w:tcW w:w="1418"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52,556,210</w:t>
            </w:r>
            <w:r w:rsidRPr="00743CE5">
              <w:rPr>
                <w:rFonts w:ascii="Tahoma" w:eastAsia="Times New Roman" w:hAnsi="Tahoma" w:cs="Tahoma"/>
                <w:color w:val="000000"/>
                <w:sz w:val="18"/>
                <w:szCs w:val="18"/>
                <w:lang w:eastAsia="ru-RU" w:bidi="ru-RU"/>
              </w:rPr>
              <w:tab/>
            </w:r>
          </w:p>
        </w:tc>
        <w:tc>
          <w:tcPr>
            <w:tcW w:w="141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3,950,000</w:t>
            </w:r>
            <w:r w:rsidRPr="00743CE5">
              <w:rPr>
                <w:rFonts w:ascii="Tahoma" w:eastAsia="Times New Roman" w:hAnsi="Tahoma" w:cs="Tahoma"/>
                <w:color w:val="000000"/>
                <w:sz w:val="18"/>
                <w:szCs w:val="18"/>
                <w:lang w:eastAsia="ru-RU" w:bidi="ru-RU"/>
              </w:rPr>
              <w:tab/>
            </w:r>
          </w:p>
        </w:tc>
      </w:tr>
      <w:tr w:rsidR="00743CE5" w:rsidRPr="00743CE5" w:rsidTr="00743CE5">
        <w:tc>
          <w:tcPr>
            <w:tcW w:w="6379" w:type="dxa"/>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8"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52,556,210</w:t>
            </w:r>
            <w:r w:rsidRPr="00743CE5">
              <w:rPr>
                <w:rFonts w:ascii="Tahoma" w:eastAsia="Times New Roman" w:hAnsi="Tahoma" w:cs="Tahoma"/>
                <w:color w:val="000000"/>
                <w:sz w:val="18"/>
                <w:szCs w:val="18"/>
                <w:lang w:eastAsia="ru-RU" w:bidi="ru-RU"/>
              </w:rPr>
              <w:tab/>
            </w:r>
          </w:p>
        </w:tc>
        <w:tc>
          <w:tcPr>
            <w:tcW w:w="141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3,950,000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апреле 2013 года акционеры Компании утвердили выплату дивидендов в размере 5 631 тысяча долларов США держателям привилегированных акций. 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июне 2013 года акционеры Компании утвердили выплату дивидендов в размере 18 658 тысяч долларов США держателям обыкновенных акций. В </w:t>
      </w:r>
      <w:proofErr w:type="gramStart"/>
      <w:r w:rsidRPr="00743CE5">
        <w:rPr>
          <w:rFonts w:ascii="Tahoma" w:eastAsia="Times New Roman" w:hAnsi="Tahoma" w:cs="Tahoma"/>
          <w:color w:val="000000"/>
          <w:sz w:val="18"/>
          <w:szCs w:val="18"/>
          <w:lang w:eastAsia="ru-RU" w:bidi="ru-RU"/>
        </w:rPr>
        <w:t>сентябре</w:t>
      </w:r>
      <w:proofErr w:type="gramEnd"/>
      <w:r w:rsidRPr="00743CE5">
        <w:rPr>
          <w:rFonts w:ascii="Tahoma" w:eastAsia="Times New Roman" w:hAnsi="Tahoma" w:cs="Tahoma"/>
          <w:color w:val="000000"/>
          <w:sz w:val="18"/>
          <w:szCs w:val="18"/>
          <w:lang w:eastAsia="ru-RU" w:bidi="ru-RU"/>
        </w:rPr>
        <w:t xml:space="preserve"> 2013 года акционеры Компании утвердили выплату дивидендов в размере 26 207 тысяч долларов США держателям акций класса «A» и 2 064 тысячи долларов США владельцам акций класса «В».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декабре</w:t>
      </w:r>
      <w:proofErr w:type="gramEnd"/>
      <w:r w:rsidRPr="00743CE5">
        <w:rPr>
          <w:rFonts w:ascii="Tahoma" w:eastAsia="Times New Roman" w:hAnsi="Tahoma" w:cs="Tahoma"/>
          <w:color w:val="000000"/>
          <w:sz w:val="18"/>
          <w:szCs w:val="18"/>
          <w:lang w:eastAsia="ru-RU" w:bidi="ru-RU"/>
        </w:rPr>
        <w:t xml:space="preserve"> 2012 года Совет директоров утвердил выплату дивидендов в размере 3 950 тысяч долларов США держателям привилегированных акций.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79"/>
          <w:footerReference w:type="default" r:id="rId80"/>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ind w:right="1814"/>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14. Кредитное качество финансовых активов </w:t>
      </w:r>
    </w:p>
    <w:p w:rsidR="00743CE5" w:rsidRPr="00743CE5" w:rsidRDefault="00743CE5" w:rsidP="00743CE5">
      <w:pPr>
        <w:keepNext/>
        <w:widowControl w:val="0"/>
        <w:autoSpaceDE w:val="0"/>
        <w:autoSpaceDN w:val="0"/>
        <w:adjustRightInd w:val="0"/>
        <w:spacing w:after="0" w:line="240" w:lineRule="auto"/>
        <w:ind w:right="1814"/>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Кредитное качество финансовых активов, которые не являются ни просроченными, ни обесцененными, с точки зрения возможности получения задолженности от контрагентов, может быть оценено с использованием внешних кредитных рейтингов (если применимо) или показателей дефолта контрагентов за прошлые периоды:</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Полностью беспроблемная дебиторская задолженность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Контрагенты, не имеющие внешнего кредитного рейтинга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Прочая дебиторская задолженность</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699,889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6,327,888</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Задолженность акционеров по векселям</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225,000,000</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счета акционеров – дебетовые остатки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3,565</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1,323</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собственного дочернего предприятия</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15,208,517</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5,656,136</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прочих компаний Группы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13,765,051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13,951,621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254,677,022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25,936,968</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Полностью беспроблемная дебиторская задолженность по займам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выданные связанным сторонам</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85,066,317</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311,614,195</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займы выданные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502,428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329,756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85,568,745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311,943,951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Производные финансовые инструменты с положительной справедливой стоимостью</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Контрагенты, не имеющие внешнего кредитного рейтинга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Контрагенты, не допускавшие в прошлом дефолтов</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2,027,023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u w:val="double"/>
                <w:lang w:eastAsia="ru-RU" w:bidi="ru-RU"/>
              </w:rPr>
              <w:t xml:space="preserve">                  -</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Средства в банке и краткосрочные банковские депозиты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22,178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BB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935,383</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BBB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4,940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1,425,000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210,848</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BB</w:t>
            </w:r>
            <w:r w:rsidRPr="00743CE5">
              <w:rPr>
                <w:rFonts w:ascii="Tahoma" w:eastAsia="Times New Roman" w:hAnsi="Tahoma" w:cs="Tahoma"/>
                <w:color w:val="000000"/>
                <w:sz w:val="18"/>
                <w:szCs w:val="18"/>
                <w:lang w:eastAsia="ru-RU" w:bidi="ru-RU"/>
              </w:rPr>
              <w:noBreakHyphen/>
              <w:t xml:space="preserve">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376,653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8,842</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w:t>
            </w:r>
            <w:r w:rsidRPr="00743CE5">
              <w:rPr>
                <w:rFonts w:ascii="Tahoma" w:eastAsia="Times New Roman" w:hAnsi="Tahoma" w:cs="Tahoma"/>
                <w:color w:val="000000"/>
                <w:sz w:val="18"/>
                <w:szCs w:val="18"/>
                <w:lang w:eastAsia="ru-RU" w:bidi="ru-RU"/>
              </w:rPr>
              <w:noBreakHyphen/>
              <w:t xml:space="preserve">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6,604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Caa1 (Moody's)</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27,982</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Caa2 (Moody's)</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12,026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 (Moody’s)</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1,194,886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67,433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2,614,659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У Компании не имеется какого-либо залога в качестве обеспечения остатков, указанных выше.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81"/>
          <w:footerReference w:type="default" r:id="rId82"/>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 Представление классов финансовых инструментов по категориям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Учетная политика Компании в отношении финансовых активов и финансовых обязатель</w:t>
      </w:r>
      <w:proofErr w:type="gramStart"/>
      <w:r w:rsidRPr="00743CE5">
        <w:rPr>
          <w:rFonts w:ascii="Tahoma" w:eastAsia="Times New Roman" w:hAnsi="Tahoma" w:cs="Tahoma"/>
          <w:color w:val="000000"/>
          <w:sz w:val="18"/>
          <w:szCs w:val="18"/>
          <w:lang w:eastAsia="ru-RU" w:bidi="ru-RU"/>
        </w:rPr>
        <w:t>ств пр</w:t>
      </w:r>
      <w:proofErr w:type="gramEnd"/>
      <w:r w:rsidRPr="00743CE5">
        <w:rPr>
          <w:rFonts w:ascii="Tahoma" w:eastAsia="Times New Roman" w:hAnsi="Tahoma" w:cs="Tahoma"/>
          <w:color w:val="000000"/>
          <w:sz w:val="18"/>
          <w:szCs w:val="18"/>
          <w:lang w:eastAsia="ru-RU" w:bidi="ru-RU"/>
        </w:rPr>
        <w:t>именялась в соответствии со следующими категориями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560"/>
        <w:gridCol w:w="1667"/>
      </w:tblGrid>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2013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Займы и дебиторская задолженность</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активы</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1,461,239,672</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1,461,239,672</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85,568,745</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85,568,745</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658,548</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2,027,023</w:t>
            </w:r>
            <w:r w:rsidRPr="00743CE5">
              <w:rPr>
                <w:rFonts w:ascii="Tahoma" w:eastAsia="Times New Roman" w:hAnsi="Tahoma" w:cs="Tahoma"/>
                <w:color w:val="000000"/>
                <w:sz w:val="18"/>
                <w:szCs w:val="18"/>
                <w:lang w:eastAsia="ru-RU" w:bidi="ru-RU"/>
              </w:rPr>
              <w:tab/>
            </w:r>
          </w:p>
        </w:tc>
        <w:tc>
          <w:tcPr>
            <w:tcW w:w="1560"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2,027,023</w:t>
            </w:r>
            <w:r w:rsidRPr="00743CE5">
              <w:rPr>
                <w:rFonts w:ascii="Tahoma" w:eastAsia="Times New Roman" w:hAnsi="Tahoma" w:cs="Tahoma"/>
                <w:color w:val="000000"/>
                <w:sz w:val="18"/>
                <w:szCs w:val="18"/>
                <w:lang w:eastAsia="ru-RU" w:bidi="ru-RU"/>
              </w:rPr>
              <w:tab/>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(без учета предоплаты)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ab/>
              <w:t>254,677,022</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254,677,022</w:t>
            </w:r>
            <w:r w:rsidRPr="00743CE5">
              <w:rPr>
                <w:rFonts w:ascii="Tahoma" w:eastAsia="Times New Roman" w:hAnsi="Tahoma" w:cs="Tahoma"/>
                <w:color w:val="000000"/>
                <w:sz w:val="18"/>
                <w:szCs w:val="18"/>
                <w:lang w:eastAsia="ru-RU" w:bidi="ru-RU"/>
              </w:rPr>
              <w:tab/>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1701" w:type="dxa"/>
            <w:tcBorders>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ab/>
              <w:t>1,678,116</w:t>
            </w:r>
            <w:r w:rsidRPr="00743CE5">
              <w:rPr>
                <w:rFonts w:ascii="Tahoma" w:eastAsia="Times New Roman" w:hAnsi="Tahoma" w:cs="Tahoma"/>
                <w:color w:val="000000"/>
                <w:sz w:val="18"/>
                <w:szCs w:val="18"/>
                <w:lang w:eastAsia="ru-RU" w:bidi="ru-RU"/>
              </w:rPr>
              <w:tab/>
            </w:r>
          </w:p>
        </w:tc>
        <w:tc>
          <w:tcPr>
            <w:tcW w:w="1701"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341,923,883</w:t>
            </w: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1,463,266,695</w:t>
            </w:r>
          </w:p>
        </w:tc>
        <w:tc>
          <w:tcPr>
            <w:tcW w:w="1560"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667"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1,805,849,126</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br w:type="page"/>
      </w:r>
      <w:r w:rsidRPr="00743CE5">
        <w:rPr>
          <w:rFonts w:ascii="Tahoma" w:eastAsia="Times New Roman" w:hAnsi="Tahoma" w:cs="Tahoma"/>
          <w:b/>
          <w:color w:val="000000"/>
          <w:sz w:val="18"/>
          <w:szCs w:val="18"/>
          <w:lang w:eastAsia="ru-RU" w:bidi="ru-RU"/>
        </w:rPr>
        <w:t>15. Представление классов финансовых инструментов по категориям оценки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560"/>
        <w:gridCol w:w="1667"/>
      </w:tblGrid>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2013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 оцениваемые по справедливой стоимости, изменения которой отражаются в составе прибыли или убытка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финансовые обязательства, отражаемые по амортизированной стоимости</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обязательства</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209,615,158</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209,615,158</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47,672,125</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47,672,125</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685,525</w:t>
            </w:r>
          </w:p>
        </w:tc>
        <w:tc>
          <w:tcPr>
            <w:tcW w:w="1560"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685,525</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685,525</w:t>
            </w:r>
          </w:p>
        </w:tc>
        <w:tc>
          <w:tcPr>
            <w:tcW w:w="1560"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257,287,283</w:t>
            </w:r>
          </w:p>
        </w:tc>
        <w:tc>
          <w:tcPr>
            <w:tcW w:w="1667"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257,972,808</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526"/>
        <w:gridCol w:w="1701"/>
      </w:tblGrid>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2012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Займы и дебиторская задолженность</w:t>
            </w:r>
          </w:p>
        </w:tc>
        <w:tc>
          <w:tcPr>
            <w:tcW w:w="152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w:t>
            </w:r>
            <w:proofErr w:type="gramStart"/>
            <w:r w:rsidRPr="00743CE5">
              <w:rPr>
                <w:rFonts w:ascii="Tahoma" w:eastAsia="Times New Roman" w:hAnsi="Tahoma" w:cs="Tahoma"/>
                <w:color w:val="000000"/>
                <w:sz w:val="18"/>
                <w:szCs w:val="18"/>
                <w:lang w:eastAsia="ru-RU" w:bidi="ru-RU"/>
              </w:rPr>
              <w:t>оце-ниваемые</w:t>
            </w:r>
            <w:proofErr w:type="gramEnd"/>
            <w:r w:rsidRPr="00743CE5">
              <w:rPr>
                <w:rFonts w:ascii="Tahoma" w:eastAsia="Times New Roman" w:hAnsi="Tahoma" w:cs="Tahoma"/>
                <w:color w:val="000000"/>
                <w:sz w:val="18"/>
                <w:szCs w:val="18"/>
                <w:lang w:eastAsia="ru-RU" w:bidi="ru-RU"/>
              </w:rPr>
              <w:t xml:space="preserve"> по справедливой стоимости, изменения которой отражаются в составе прибыли или убытка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активы</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52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2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1,334,375,294</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1,334,375,294</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311,943,951</w:t>
            </w:r>
          </w:p>
        </w:tc>
        <w:tc>
          <w:tcPr>
            <w:tcW w:w="152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311,943,951</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(без учета предоплаты)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25,936,968</w:t>
            </w:r>
          </w:p>
        </w:tc>
        <w:tc>
          <w:tcPr>
            <w:tcW w:w="152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25,936,968</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2,614,659</w:t>
            </w:r>
          </w:p>
        </w:tc>
        <w:tc>
          <w:tcPr>
            <w:tcW w:w="1526"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2,614,659</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340,495,578</w:t>
            </w:r>
          </w:p>
        </w:tc>
        <w:tc>
          <w:tcPr>
            <w:tcW w:w="1526"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1,334,375,294</w:t>
            </w: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1,674,870,872</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560"/>
        <w:gridCol w:w="1667"/>
      </w:tblGrid>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2012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 оцениваемые по справедливой стоимости, изменения которой отражаются в составе прибыли или убытка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Прочие финансовые обязательства, отражаемые по амортизированной стоимости</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обязательства</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320,167,380</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320,167,380</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47,139,062</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47,139,062</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4,132,419</w:t>
            </w:r>
          </w:p>
        </w:tc>
        <w:tc>
          <w:tcPr>
            <w:tcW w:w="1560"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4,132,419</w:t>
            </w:r>
          </w:p>
        </w:tc>
      </w:tr>
      <w:tr w:rsidR="00743CE5" w:rsidRPr="00743CE5" w:rsidTr="00743CE5">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left" w:pos="1202"/>
                <w:tab w:val="right" w:pos="1485"/>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4,132,419</w:t>
            </w:r>
          </w:p>
        </w:tc>
        <w:tc>
          <w:tcPr>
            <w:tcW w:w="1560" w:type="dxa"/>
            <w:tcBorders>
              <w:top w:val="single" w:sz="4" w:space="0" w:color="auto"/>
              <w:bottom w:val="single" w:sz="4" w:space="0" w:color="auto"/>
            </w:tcBorders>
          </w:tcPr>
          <w:p w:rsidR="00743CE5" w:rsidRPr="00743CE5" w:rsidRDefault="00743CE5" w:rsidP="00743CE5">
            <w:pPr>
              <w:widowControl w:val="0"/>
              <w:tabs>
                <w:tab w:val="left" w:pos="1202"/>
                <w:tab w:val="right" w:pos="1344"/>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367,306,442</w:t>
            </w:r>
          </w:p>
        </w:tc>
        <w:tc>
          <w:tcPr>
            <w:tcW w:w="1667" w:type="dxa"/>
            <w:tcBorders>
              <w:top w:val="single" w:sz="4" w:space="0" w:color="auto"/>
              <w:bottom w:val="single" w:sz="4" w:space="0" w:color="auto"/>
            </w:tcBorders>
          </w:tcPr>
          <w:p w:rsidR="00743CE5" w:rsidRPr="00743CE5" w:rsidRDefault="00743CE5" w:rsidP="00743CE5">
            <w:pPr>
              <w:widowControl w:val="0"/>
              <w:tabs>
                <w:tab w:val="right" w:pos="1417"/>
                <w:tab w:val="left" w:pos="1451"/>
              </w:tabs>
              <w:autoSpaceDE w:val="0"/>
              <w:autoSpaceDN w:val="0"/>
              <w:adjustRightInd w:val="0"/>
              <w:spacing w:after="0" w:line="240" w:lineRule="auto"/>
              <w:ind w:right="90"/>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371,438,861</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 xml:space="preserve">16. Справедливая стоимость финансовых инструментов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 это цена, которая может быть получена при продаже актива или уплачена при передаче обязательства при проведении операции на добровольной основе между участниками рынка на дату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справедливая стоимость определялась Компанией исходя из имеющейся рыночной информации (если она существовала и считалась надежным показателем) и надлежащих методов оценки. Однако для интерпретации рыночной информации в целях определения справедливой стоимости необходимо применять профессиональные суждения. Экономика Российской Федерации по-прежнему проявляет некоторые характерные особенности, присущие развивающимся рынкам. Рыночные котировки могут быть устаревшими или отражать стоимость продажи по низким ценам и ввиду этого не отражать справедливую стоимость финансовых инструментов. При определении справедливой стоимости финансовых инструментов руководство использует всю имеющуюся рыночную информацию.</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Результаты оценки справедливой стоимости анализируются и распределяются по уровням иерархии справедливой стоимости следующим образом: (i) к 1 Уровню относятся оценки по котируемым ценам (некорректируемым) на активных рынках для идентичных активов или обязательств, (ii) ко 2 Уровню - полученные с помощью методов оценки, в котором все используемые существенные исходные данные, прямо или косвенно являются наблюдаемыми для актива или обязательства (т.е., например</w:t>
      </w:r>
      <w:proofErr w:type="gramEnd"/>
      <w:r w:rsidRPr="00743CE5">
        <w:rPr>
          <w:rFonts w:ascii="Tahoma" w:eastAsia="Times New Roman" w:hAnsi="Tahoma" w:cs="Tahoma"/>
          <w:color w:val="000000"/>
          <w:sz w:val="18"/>
          <w:szCs w:val="18"/>
          <w:lang w:eastAsia="ru-RU" w:bidi="ru-RU"/>
        </w:rPr>
        <w:t>, цены), и (iii) оценки 3 Уровня, которые являются оценками, не основанными на наблюдаемых рыночных данных (т.е. основаны на ненаблюдаемых исходных данных). Для распределения финансовых инструментов по категориям иерархии оценки справедливой стоимости руководство использует профессиональные суждения. Если для оценки справедливой стоимости используются наблюдаемые исходные данные, требующие значительных корректировок, эта оценка относится к 3 Уровню. Значимость используемых исходных данных оценивается для всей совокупности оценки справедливой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 xml:space="preserve">Производные финансовые инструменты. </w:t>
      </w:r>
      <w:r w:rsidRPr="00743CE5">
        <w:rPr>
          <w:rFonts w:ascii="Tahoma" w:eastAsia="Times New Roman" w:hAnsi="Tahoma" w:cs="Tahoma"/>
          <w:color w:val="000000"/>
          <w:sz w:val="18"/>
          <w:szCs w:val="18"/>
          <w:lang w:eastAsia="ru-RU" w:bidi="ru-RU"/>
        </w:rPr>
        <w:t>Производные финансовые инструменты (Примечание 20), оцениваемые по справедливой стоимости, по состоянию на 31 декабря 2013 года и 31 декабря 2012 года, оцениваются с использованием метода оценки 2 уровня.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spacing w:after="240" w:line="228" w:lineRule="auto"/>
        <w:jc w:val="both"/>
        <w:rPr>
          <w:rFonts w:ascii="Tahoma" w:eastAsia="Times New Roman" w:hAnsi="Tahoma" w:cs="Times New Roman"/>
          <w:color w:val="000000"/>
          <w:sz w:val="18"/>
          <w:szCs w:val="20"/>
          <w:lang w:eastAsia="ru-RU" w:bidi="ru-RU"/>
        </w:rPr>
      </w:pPr>
      <w:r w:rsidRPr="00743CE5">
        <w:rPr>
          <w:rFonts w:ascii="Tahoma" w:eastAsia="Times New Roman" w:hAnsi="Tahoma" w:cs="Times New Roman"/>
          <w:b/>
          <w:i/>
          <w:color w:val="000000"/>
          <w:sz w:val="18"/>
          <w:szCs w:val="20"/>
          <w:lang w:eastAsia="ru-RU" w:bidi="ru-RU"/>
        </w:rPr>
        <w:t xml:space="preserve">Финансовые активы, оцениваемые по справедливой стоимости, изменения которой отражаются в составе прибыли или убытка. </w:t>
      </w:r>
      <w:r w:rsidRPr="00743CE5">
        <w:rPr>
          <w:rFonts w:ascii="Tahoma" w:eastAsia="Times New Roman" w:hAnsi="Tahoma" w:cs="Times New Roman"/>
          <w:color w:val="000000"/>
          <w:sz w:val="18"/>
          <w:szCs w:val="20"/>
          <w:lang w:eastAsia="ru-RU" w:bidi="ru-RU"/>
        </w:rPr>
        <w:t>Справедливая стоимость финансовых активов, оцениваемых по справедливой стоимости, изменения которой отражаются в составе прибыли или убытка (Примечание 17), основывается на оценках 3 Уровня. Данные оценки определяются на основе чистой стоимости активов инвестиционного имущества дочерних компаний. Для дочерних компаний, владеющих инвестиционным имуществом в России, величина чистых активов соответствует их справедливой стоимости, поскольку они отражают справедливую стоимость инвестиционного имущества, отраженного на их бухгалтерском балансе. Справедливая стоимость инвестиционного имущества определяется руководством на основании отчетов независимых оценщиков, обладающих признанной квалификацией и имеющих недавний профессиональный опыт оценки имущества, аналогичного оцениваемому имуществу по своему местонахождению и категории. Справедливая стоимость инвестиционной собственности определяется в основном с использованием метода дисконтированных денежных потоков. Группа использовала допущения, основанные на состоянии рынка на каждую отчетную дату. Изменения в допущениях, использованных в моделях оценки, могут повлиять на отражаемую в финансовой отчетности справедливую стоимость.</w:t>
      </w:r>
    </w:p>
    <w:p w:rsidR="00743CE5" w:rsidRPr="00743CE5" w:rsidRDefault="00743CE5" w:rsidP="00743CE5">
      <w:pPr>
        <w:spacing w:after="12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imes New Roman"/>
          <w:color w:val="000000"/>
          <w:sz w:val="18"/>
          <w:szCs w:val="20"/>
          <w:lang w:eastAsia="ru-RU" w:bidi="ru-RU"/>
        </w:rPr>
        <w:br w:type="page"/>
      </w:r>
      <w:r w:rsidRPr="00743CE5">
        <w:rPr>
          <w:rFonts w:ascii="Tahoma" w:eastAsia="Times New Roman" w:hAnsi="Tahoma" w:cs="Tahoma"/>
          <w:b/>
          <w:sz w:val="18"/>
          <w:szCs w:val="18"/>
          <w:lang w:eastAsia="ru-RU" w:bidi="ru-RU"/>
        </w:rPr>
        <w:t>16. Справедливая стоимость финансовых инструментов (продолжение)</w:t>
      </w:r>
    </w:p>
    <w:p w:rsidR="00743CE5" w:rsidRPr="00743CE5" w:rsidRDefault="00743CE5" w:rsidP="00743CE5">
      <w:pPr>
        <w:spacing w:after="12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b/>
          <w:i/>
          <w:color w:val="000000"/>
          <w:sz w:val="18"/>
          <w:szCs w:val="20"/>
          <w:lang w:eastAsia="ru-RU" w:bidi="ru-RU"/>
        </w:rPr>
        <w:t>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spacing w:after="120" w:line="240" w:lineRule="auto"/>
        <w:jc w:val="both"/>
        <w:rPr>
          <w:rFonts w:ascii="Tahoma" w:eastAsia="Times New Roman" w:hAnsi="Tahoma" w:cs="Tahoma"/>
          <w:sz w:val="18"/>
          <w:szCs w:val="18"/>
          <w:lang w:eastAsia="ru-RU" w:bidi="ru-RU"/>
        </w:rPr>
      </w:pPr>
      <w:r w:rsidRPr="00743CE5">
        <w:rPr>
          <w:rFonts w:ascii="Tahoma" w:eastAsia="Times New Roman" w:hAnsi="Tahoma" w:cs="Times New Roman"/>
          <w:sz w:val="18"/>
          <w:szCs w:val="20"/>
          <w:lang w:eastAsia="ru-RU" w:bidi="ru-RU"/>
        </w:rPr>
        <w:t>В таблице ниже приведены методы оценки и исходные данных, использованные в оценке справедливой стоимости инвестиционного имущества, а также чувствительность оценок к возможным изменениям исходных данных по состоянию на 31 декабря 2013 года:</w:t>
      </w:r>
    </w:p>
    <w:tbl>
      <w:tblPr>
        <w:tblW w:w="8505" w:type="dxa"/>
        <w:tblLayout w:type="fixed"/>
        <w:tblLook w:val="04A0" w:firstRow="1" w:lastRow="0" w:firstColumn="1" w:lastColumn="0" w:noHBand="0" w:noVBand="1"/>
      </w:tblPr>
      <w:tblGrid>
        <w:gridCol w:w="1540"/>
        <w:gridCol w:w="1113"/>
        <w:gridCol w:w="1720"/>
        <w:gridCol w:w="1220"/>
        <w:gridCol w:w="1341"/>
        <w:gridCol w:w="1571"/>
      </w:tblGrid>
      <w:tr w:rsidR="00743CE5" w:rsidRPr="00743CE5" w:rsidTr="00743CE5">
        <w:trPr>
          <w:trHeight w:val="97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 xml:space="preserve">(в </w:t>
            </w:r>
            <w:proofErr w:type="gramStart"/>
            <w:r w:rsidRPr="00743CE5">
              <w:rPr>
                <w:rFonts w:ascii="Tahoma" w:eastAsia="Times New Roman" w:hAnsi="Tahoma" w:cs="Tahoma"/>
                <w:i/>
                <w:color w:val="000000"/>
                <w:sz w:val="18"/>
                <w:szCs w:val="18"/>
                <w:lang w:eastAsia="ru-RU" w:bidi="ru-RU"/>
              </w:rPr>
              <w:t>тысячах долларов</w:t>
            </w:r>
            <w:proofErr w:type="gramEnd"/>
            <w:r w:rsidRPr="00743CE5">
              <w:rPr>
                <w:rFonts w:ascii="Tahoma" w:eastAsia="Times New Roman" w:hAnsi="Tahoma" w:cs="Tahoma"/>
                <w:i/>
                <w:color w:val="000000"/>
                <w:sz w:val="18"/>
                <w:szCs w:val="18"/>
                <w:lang w:eastAsia="ru-RU" w:bidi="ru-RU"/>
              </w:rPr>
              <w:t xml:space="preserve"> США)</w:t>
            </w:r>
          </w:p>
        </w:tc>
        <w:tc>
          <w:tcPr>
            <w:tcW w:w="1113"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Метод оценки</w:t>
            </w:r>
          </w:p>
        </w:tc>
        <w:tc>
          <w:tcPr>
            <w:tcW w:w="17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Исходные данные, используемые в оценке инвестиционного имущества</w:t>
            </w: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Диапазон исходных данных (средневзвешенное значение)</w:t>
            </w: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Обоснованное изменение </w:t>
            </w:r>
            <w:r w:rsidRPr="00743CE5">
              <w:rPr>
                <w:rFonts w:ascii="Tahoma" w:eastAsia="Times New Roman" w:hAnsi="Tahoma" w:cs="Tahoma"/>
                <w:b/>
                <w:bCs/>
                <w:color w:val="000000"/>
                <w:sz w:val="18"/>
                <w:szCs w:val="18"/>
                <w:lang w:eastAsia="ru-RU" w:bidi="ru-RU"/>
              </w:rPr>
              <w:br/>
            </w:r>
            <w:r w:rsidRPr="00743CE5">
              <w:rPr>
                <w:rFonts w:ascii="Tahoma" w:eastAsia="Times New Roman" w:hAnsi="Tahoma" w:cs="Tahoma"/>
                <w:b/>
                <w:color w:val="000000"/>
                <w:sz w:val="18"/>
                <w:szCs w:val="18"/>
                <w:lang w:eastAsia="ru-RU" w:bidi="ru-RU"/>
              </w:rPr>
              <w:t>(% исходных данных)</w:t>
            </w: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roofErr w:type="gramStart"/>
            <w:r w:rsidRPr="00743CE5">
              <w:rPr>
                <w:rFonts w:ascii="Tahoma" w:eastAsia="Times New Roman" w:hAnsi="Tahoma" w:cs="Tahoma"/>
                <w:b/>
                <w:color w:val="000000"/>
                <w:sz w:val="18"/>
                <w:szCs w:val="18"/>
                <w:lang w:eastAsia="ru-RU" w:bidi="ru-RU"/>
              </w:rPr>
              <w:t>Чувстви-тельность</w:t>
            </w:r>
            <w:proofErr w:type="gramEnd"/>
            <w:r w:rsidRPr="00743CE5">
              <w:rPr>
                <w:rFonts w:ascii="Tahoma" w:eastAsia="Times New Roman" w:hAnsi="Tahoma" w:cs="Tahoma"/>
                <w:b/>
                <w:color w:val="000000"/>
                <w:sz w:val="18"/>
                <w:szCs w:val="18"/>
                <w:lang w:eastAsia="ru-RU" w:bidi="ru-RU"/>
              </w:rPr>
              <w:t xml:space="preserve"> оценки справед-ливой стоимости</w:t>
            </w:r>
          </w:p>
        </w:tc>
      </w:tr>
      <w:tr w:rsidR="00743CE5" w:rsidRPr="00743CE5" w:rsidTr="00743CE5">
        <w:trPr>
          <w:trHeight w:val="10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p>
        </w:tc>
        <w:tc>
          <w:tcPr>
            <w:tcW w:w="1113"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7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rPr>
          <w:trHeight w:val="255"/>
        </w:trPr>
        <w:tc>
          <w:tcPr>
            <w:tcW w:w="154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Дочерние предприятия, владеющие инвестиционным имуществом, приносящим доход</w:t>
            </w:r>
          </w:p>
        </w:tc>
        <w:tc>
          <w:tcPr>
            <w:tcW w:w="1113"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Метод дисконтированных денежных потоков</w:t>
            </w: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дисконтирования</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9,5-14,0%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r w:rsidRPr="00743CE5">
              <w:rPr>
                <w:rFonts w:ascii="Tahoma" w:eastAsia="Times New Roman" w:hAnsi="Tahoma" w:cs="Tahoma"/>
                <w:color w:val="000000"/>
                <w:sz w:val="18"/>
                <w:szCs w:val="18"/>
                <w:lang w:eastAsia="ru-RU" w:bidi="ru-RU"/>
              </w:rPr>
              <w:br/>
              <w:t xml:space="preserve"> -10 %</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(136 080)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144 400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стоимость аренды</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200-2000 долл. США/ кв</w:t>
            </w:r>
            <w:proofErr w:type="gramStart"/>
            <w:r w:rsidRPr="00743CE5">
              <w:rPr>
                <w:rFonts w:ascii="Tahoma" w:eastAsia="Times New Roman" w:hAnsi="Tahoma" w:cs="Tahoma"/>
                <w:color w:val="000000"/>
                <w:sz w:val="18"/>
                <w:szCs w:val="18"/>
                <w:lang w:eastAsia="ru-RU" w:bidi="ru-RU"/>
              </w:rPr>
              <w:t>.м</w:t>
            </w:r>
            <w:proofErr w:type="gramEnd"/>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r w:rsidRPr="00743CE5">
              <w:rPr>
                <w:rFonts w:ascii="Tahoma" w:eastAsia="Times New Roman" w:hAnsi="Tahoma" w:cs="Tahoma"/>
                <w:color w:val="000000"/>
                <w:sz w:val="18"/>
                <w:szCs w:val="18"/>
                <w:lang w:eastAsia="ru-RU" w:bidi="ru-RU"/>
              </w:rPr>
              <w:br/>
              <w:t xml:space="preserve"> -10 %</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160 532</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(160 365)</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капитализации при выходе из участия в капитале</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8,5-10,0%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r w:rsidRPr="00743CE5">
              <w:rPr>
                <w:rFonts w:ascii="Tahoma" w:eastAsia="Times New Roman" w:hAnsi="Tahoma" w:cs="Tahoma"/>
                <w:color w:val="000000"/>
                <w:sz w:val="18"/>
                <w:szCs w:val="18"/>
                <w:lang w:eastAsia="ru-RU" w:bidi="ru-RU"/>
              </w:rPr>
              <w:br/>
              <w:t xml:space="preserve"> -10 %</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(194 640)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238 000</w:t>
            </w:r>
          </w:p>
        </w:tc>
      </w:tr>
      <w:tr w:rsidR="00743CE5" w:rsidRPr="00743CE5" w:rsidTr="00743CE5">
        <w:trPr>
          <w:trHeight w:val="120"/>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113"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72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571" w:type="dxa"/>
            <w:noWrap/>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r>
      <w:tr w:rsidR="00743CE5" w:rsidRPr="00743CE5" w:rsidTr="00743CE5">
        <w:trPr>
          <w:trHeight w:val="10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rPr>
          <w:trHeight w:val="240"/>
        </w:trPr>
        <w:tc>
          <w:tcPr>
            <w:tcW w:w="154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Дочерние предприятия, владеющие незавершенным инвестиционным имуществом</w:t>
            </w:r>
          </w:p>
        </w:tc>
        <w:tc>
          <w:tcPr>
            <w:tcW w:w="1113"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Метод дисконтированных денежных потоков</w:t>
            </w: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дисконтирования</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17,0-18,0%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r w:rsidRPr="00743CE5">
              <w:rPr>
                <w:rFonts w:ascii="Tahoma" w:eastAsia="Times New Roman" w:hAnsi="Tahoma" w:cs="Tahoma"/>
                <w:color w:val="000000"/>
                <w:sz w:val="18"/>
                <w:szCs w:val="18"/>
                <w:lang w:eastAsia="ru-RU" w:bidi="ru-RU"/>
              </w:rPr>
              <w:br/>
              <w:t xml:space="preserve"> -10 %</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(9 040)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10 080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стоимость аренды</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300-800 долл. США/ кв</w:t>
            </w:r>
            <w:proofErr w:type="gramStart"/>
            <w:r w:rsidRPr="00743CE5">
              <w:rPr>
                <w:rFonts w:ascii="Tahoma" w:eastAsia="Times New Roman" w:hAnsi="Tahoma" w:cs="Tahoma"/>
                <w:color w:val="000000"/>
                <w:sz w:val="18"/>
                <w:szCs w:val="18"/>
                <w:lang w:eastAsia="ru-RU" w:bidi="ru-RU"/>
              </w:rPr>
              <w:t>.м</w:t>
            </w:r>
            <w:proofErr w:type="gramEnd"/>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 /-10 %</w:t>
            </w: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16 507</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(16 891)</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капитализации при выходе из участия в капитале</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9,5 %</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r w:rsidRPr="00743CE5">
              <w:rPr>
                <w:rFonts w:ascii="Tahoma" w:eastAsia="Times New Roman" w:hAnsi="Tahoma" w:cs="Tahoma"/>
                <w:color w:val="000000"/>
                <w:sz w:val="18"/>
                <w:szCs w:val="18"/>
                <w:lang w:eastAsia="ru-RU" w:bidi="ru-RU"/>
              </w:rPr>
              <w:br/>
              <w:t xml:space="preserve"> -10 %</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(11 920)</w:t>
            </w:r>
          </w:p>
        </w:tc>
      </w:tr>
      <w:tr w:rsidR="00743CE5" w:rsidRPr="00743CE5" w:rsidTr="00743CE5">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14 640</w:t>
            </w:r>
          </w:p>
        </w:tc>
      </w:tr>
    </w:tbl>
    <w:p w:rsidR="00743CE5" w:rsidRPr="00743CE5" w:rsidRDefault="00743CE5" w:rsidP="00743CE5">
      <w:pPr>
        <w:spacing w:after="0" w:line="228" w:lineRule="auto"/>
        <w:jc w:val="both"/>
        <w:rPr>
          <w:rFonts w:ascii="Times New Roman" w:eastAsia="Times New Roman" w:hAnsi="Times New Roman" w:cs="Times New Roman"/>
          <w:sz w:val="20"/>
          <w:szCs w:val="20"/>
          <w:lang w:eastAsia="ru-RU" w:bidi="ru-RU"/>
        </w:rPr>
      </w:pPr>
    </w:p>
    <w:p w:rsidR="00743CE5" w:rsidRPr="00743CE5" w:rsidRDefault="00743CE5" w:rsidP="00743CE5">
      <w:pPr>
        <w:spacing w:after="12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0"/>
          <w:lang w:eastAsia="ru-RU" w:bidi="ru-RU"/>
        </w:rPr>
        <w:t>Чувствительность оценки справедливой стоимости к изменениям исходных данных определяется с помощью корректировки переменной величины и на основе допущения о том, что прочие переменные остаются без изменений.</w:t>
      </w:r>
    </w:p>
    <w:p w:rsidR="00743CE5" w:rsidRPr="00743CE5" w:rsidRDefault="00743CE5" w:rsidP="00743CE5">
      <w:pPr>
        <w:spacing w:after="12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0"/>
          <w:lang w:eastAsia="ru-RU" w:bidi="ru-RU"/>
        </w:rPr>
        <w:t xml:space="preserve">В течение 2013 года справедливая стоимость финансовых активов, оцениваемых по справедливой стоимости, изменения которой отражаются в составе прибыли или убытка, была включена в справедливую стоимость инвестиций в дочерние предприятия. Отложенные налоги, возникающие в связи с корректировкой справедливой стоимости инвестиционного имущества, отражались через дочерние предприятия Компании. По состоянию на 31 декабря 2013 года и за год, закончившийся на указанную дату, влияние этой корректировки на справедливую стоимость составило 92 998 996 долларов США. Эти исходные данные для оценки справедливой стоимости представляют собой ненаблюдаемые данные, и для их определения требуется применять существенные суждения. Соответствующие условия, влияющие на эти исходные данные для оценки, могут изменяться, а справедливая стоимость инвестиций в дочерние предприятия, которая будет реализована посредством будущих выбытий, может отличаться от справедливой стоимости инвестиций в дочерние предприятия, отраженные в данной отдельной финансовой отчетности.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2013 года переводов на уровень оценки 3 и с этого уровня не производилось.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2"/>
          <w:szCs w:val="12"/>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Денежные средства и их эквиваленты.</w:t>
      </w:r>
      <w:r w:rsidRPr="00743CE5">
        <w:rPr>
          <w:rFonts w:ascii="Tahoma" w:eastAsia="Times New Roman" w:hAnsi="Tahoma" w:cs="Tahoma"/>
          <w:color w:val="000000"/>
          <w:sz w:val="18"/>
          <w:szCs w:val="18"/>
          <w:lang w:eastAsia="ru-RU" w:bidi="ru-RU"/>
        </w:rPr>
        <w:t xml:space="preserve"> Денежные средства и их эквиваленты отражаются по номинальной стоимости.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2"/>
          <w:szCs w:val="12"/>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Финансовые активы и обязательства, отражаемые по амортизированной стоимости.</w:t>
      </w:r>
      <w:r w:rsidRPr="00743CE5">
        <w:rPr>
          <w:rFonts w:ascii="Tahoma" w:eastAsia="Times New Roman" w:hAnsi="Tahoma" w:cs="Tahoma"/>
          <w:color w:val="000000"/>
          <w:sz w:val="18"/>
          <w:szCs w:val="18"/>
          <w:lang w:eastAsia="ru-RU" w:bidi="ru-RU"/>
        </w:rPr>
        <w:t xml:space="preserve"> Финансовые обязательства отражены по амортизированной стоимости, которая приблизительно равна их текущей справедливой стоимости.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17. Финансовые активы, оцениваемые по справедливой стоимости, изменения которой отражаются в составе прибыли или убытка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bl>
      <w:tblPr>
        <w:tblW w:w="9356" w:type="dxa"/>
        <w:tblLayout w:type="fixed"/>
        <w:tblLook w:val="0000" w:firstRow="0" w:lastRow="0" w:firstColumn="0" w:lastColumn="0" w:noHBand="0" w:noVBand="0"/>
      </w:tblPr>
      <w:tblGrid>
        <w:gridCol w:w="5529"/>
        <w:gridCol w:w="2126"/>
        <w:gridCol w:w="1701"/>
      </w:tblGrid>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2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126"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1 января</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1,334,375,294</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779,687,552</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555,795,339</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298,940,877</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Выбытия</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(97,982,521)</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(76,811,399)</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Перенос из категории «Инвестиции в ассоциированное предприятие» (Примечание 18)</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9,583,300</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Переоценка (Примечание 7)</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(340,531,740)</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332,558,264</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w:t>
            </w:r>
          </w:p>
        </w:tc>
        <w:tc>
          <w:tcPr>
            <w:tcW w:w="212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1,461,239,672</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1,334,375,294</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о справедливой стоимости дочерних предприятий представлена в таблице ниже: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10036" w:type="dxa"/>
        <w:tblInd w:w="39" w:type="dxa"/>
        <w:tblLayout w:type="fixed"/>
        <w:tblCellMar>
          <w:left w:w="39" w:type="dxa"/>
          <w:right w:w="39" w:type="dxa"/>
        </w:tblCellMar>
        <w:tblLook w:val="0000" w:firstRow="0" w:lastRow="0" w:firstColumn="0" w:lastColumn="0" w:noHBand="0" w:noVBand="0"/>
      </w:tblPr>
      <w:tblGrid>
        <w:gridCol w:w="2390"/>
        <w:gridCol w:w="1368"/>
        <w:gridCol w:w="1944"/>
        <w:gridCol w:w="835"/>
        <w:gridCol w:w="807"/>
        <w:gridCol w:w="1411"/>
        <w:gridCol w:w="1281"/>
      </w:tblGrid>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Название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Страна регистрации</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Основная деятельность</w:t>
            </w:r>
          </w:p>
        </w:tc>
        <w:tc>
          <w:tcPr>
            <w:tcW w:w="83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2013 г.</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w:t>
            </w:r>
          </w:p>
        </w:tc>
        <w:tc>
          <w:tcPr>
            <w:tcW w:w="80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2012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right="80"/>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 xml:space="preserve"> 2013 г.</w:t>
            </w:r>
          </w:p>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2012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долл. США</w:t>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83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80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Дочерние предприятия</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28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Wallasey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57,250,762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61,713,537</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Ratado Holding Ltd </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356,212,922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555,583,000</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val="en-US" w:eastAsia="ru-RU" w:bidi="ru-RU"/>
              </w:rPr>
            </w:pPr>
            <w:r w:rsidRPr="00743CE5">
              <w:rPr>
                <w:rFonts w:ascii="Tahoma" w:eastAsia="Times New Roman" w:hAnsi="Tahoma" w:cs="Tahoma"/>
                <w:color w:val="000000"/>
                <w:sz w:val="16"/>
                <w:szCs w:val="18"/>
                <w:lang w:val="en-US" w:eastAsia="ru-RU" w:bidi="ru-RU"/>
              </w:rPr>
              <w:t xml:space="preserve">Discovery Russian Realty Paveletskaya Project Ltd </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Каймановы острова</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O1 Properties Management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867,000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1,064,000</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Sharezone Capital Ltd </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306,361,636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390,787,000</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Stabilac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1,663,861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3,078,611</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Bitlena Holdings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131,289,203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Valnaz Investments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26,009,707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19,108,734</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Eagleman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ООО «Сити</w:t>
            </w:r>
            <w:r w:rsidRPr="00743CE5">
              <w:rPr>
                <w:rFonts w:ascii="Tahoma" w:eastAsia="Times New Roman" w:hAnsi="Tahoma" w:cs="Tahoma"/>
                <w:color w:val="000000"/>
                <w:sz w:val="18"/>
                <w:szCs w:val="18"/>
                <w:lang w:eastAsia="ru-RU" w:bidi="ru-RU"/>
              </w:rPr>
              <w:noBreakHyphen/>
            </w:r>
            <w:r w:rsidRPr="00743CE5">
              <w:rPr>
                <w:rFonts w:ascii="Tahoma" w:eastAsia="Times New Roman" w:hAnsi="Tahoma" w:cs="Tahoma"/>
                <w:color w:val="000000"/>
                <w:sz w:val="16"/>
                <w:szCs w:val="18"/>
                <w:lang w:eastAsia="ru-RU" w:bidi="ru-RU"/>
              </w:rPr>
              <w:t>Девелопер»</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ЗАО «Наш Стандарт»</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924,000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875,000</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Hines DPIII Development Limited (2)</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76,194,827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164,051,406</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Hines DPIII Realty Ltd </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65,478,646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138,110,359</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Tropical Sunset Holdings Inc</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Lomnia Services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highlight w:val="yellow"/>
                <w:lang w:eastAsia="ru-RU" w:bidi="ru-RU"/>
              </w:rPr>
            </w:pPr>
            <w:r w:rsidRPr="00743CE5">
              <w:rPr>
                <w:rFonts w:ascii="Tahoma" w:eastAsia="Times New Roman" w:hAnsi="Tahoma" w:cs="Tahoma"/>
                <w:color w:val="000000"/>
                <w:sz w:val="16"/>
                <w:szCs w:val="18"/>
                <w:lang w:eastAsia="ru-RU" w:bidi="ru-RU"/>
              </w:rPr>
              <w:t>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1,032</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Quotex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highlight w:val="yellow"/>
                <w:lang w:eastAsia="ru-RU" w:bidi="ru-RU"/>
              </w:rPr>
            </w:pPr>
            <w:r w:rsidRPr="00743CE5">
              <w:rPr>
                <w:rFonts w:ascii="Tahoma" w:eastAsia="Times New Roman" w:hAnsi="Tahoma" w:cs="Tahoma"/>
                <w:color w:val="000000"/>
                <w:sz w:val="16"/>
                <w:szCs w:val="18"/>
                <w:lang w:eastAsia="ru-RU" w:bidi="ru-RU"/>
              </w:rPr>
              <w:t>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13</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Annabeth Services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right="80"/>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1,296</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Letvion Investments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85</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right="153"/>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1,306</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Hannory Holdings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Collins Crest Limited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ООО «Семела»</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Blandid Limited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28,332,430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Taavo Enterprises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85**</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50**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16,659,927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Invery Management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10,738,656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White Estate Investments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214,066,012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Mokati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65,554,334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Kolston Group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44,000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Fundin Investments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Thabit Holdings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Mumford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Minesign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Sabaton Holdings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88,806,233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Cemvertia Holdings Ltd</w:t>
            </w: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83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80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1"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u w:val="single"/>
                <w:lang w:eastAsia="ru-RU" w:bidi="ru-RU"/>
              </w:rPr>
              <w:t>14,785,516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390"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6"/>
                <w:szCs w:val="16"/>
                <w:lang w:eastAsia="ru-RU" w:bidi="ru-RU"/>
              </w:rPr>
            </w:pPr>
          </w:p>
        </w:tc>
        <w:tc>
          <w:tcPr>
            <w:tcW w:w="136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9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83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80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u w:val="double"/>
                <w:lang w:eastAsia="ru-RU" w:bidi="ru-RU"/>
              </w:rPr>
              <w:t>1,461,239,672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u w:val="double"/>
                <w:lang w:eastAsia="ru-RU" w:bidi="ru-RU"/>
              </w:rPr>
              <w:t>1,334,375,294</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24"/>
          <w:szCs w:val="24"/>
          <w:lang w:eastAsia="ru-RU" w:bidi="ru-RU"/>
        </w:rPr>
      </w:pPr>
      <w:r w:rsidRPr="00743CE5">
        <w:rPr>
          <w:rFonts w:ascii="Tahoma" w:eastAsia="Times New Roman" w:hAnsi="Tahoma" w:cs="Tahoma"/>
          <w:b/>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Доли в акционерном капитале с пометкой</w:t>
      </w:r>
      <w:proofErr w:type="gramStart"/>
      <w:r w:rsidRPr="00743CE5">
        <w:rPr>
          <w:rFonts w:ascii="Tahoma" w:eastAsia="Times New Roman" w:hAnsi="Tahoma" w:cs="Tahoma"/>
          <w:color w:val="000000"/>
          <w:sz w:val="18"/>
          <w:szCs w:val="18"/>
          <w:lang w:eastAsia="ru-RU" w:bidi="ru-RU"/>
        </w:rPr>
        <w:t xml:space="preserve"> (*) </w:t>
      </w:r>
      <w:proofErr w:type="gramEnd"/>
      <w:r w:rsidRPr="00743CE5">
        <w:rPr>
          <w:rFonts w:ascii="Tahoma" w:eastAsia="Times New Roman" w:hAnsi="Tahoma" w:cs="Tahoma"/>
          <w:color w:val="000000"/>
          <w:sz w:val="18"/>
          <w:szCs w:val="18"/>
          <w:lang w:eastAsia="ru-RU" w:bidi="ru-RU"/>
        </w:rPr>
        <w:t>предоставлены в качестве обеспечения по займам и кредитам Компании (Примечание 25) на соответствующие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Доли в акционерном капитале с пометкой</w:t>
      </w:r>
      <w:proofErr w:type="gramStart"/>
      <w:r w:rsidRPr="00743CE5">
        <w:rPr>
          <w:rFonts w:ascii="Tahoma" w:eastAsia="Times New Roman" w:hAnsi="Tahoma" w:cs="Tahoma"/>
          <w:color w:val="000000"/>
          <w:sz w:val="18"/>
          <w:szCs w:val="18"/>
          <w:lang w:eastAsia="ru-RU" w:bidi="ru-RU"/>
        </w:rPr>
        <w:t xml:space="preserve"> (**) </w:t>
      </w:r>
      <w:proofErr w:type="gramEnd"/>
      <w:r w:rsidRPr="00743CE5">
        <w:rPr>
          <w:rFonts w:ascii="Tahoma" w:eastAsia="Times New Roman" w:hAnsi="Tahoma" w:cs="Tahoma"/>
          <w:color w:val="000000"/>
          <w:sz w:val="18"/>
          <w:szCs w:val="18"/>
          <w:lang w:eastAsia="ru-RU" w:bidi="ru-RU"/>
        </w:rPr>
        <w:t>предоставлены в качестве обеспечения по займам и кредитам других компаний группы на соответствующие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об операциях, повлиявших на инвестиции в дочерние предприятия за годы, закончившиеся 31 декабря 2012 года и 31 декабря 2013 года, представлена ниже: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2012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2012 года Компания провела реструктуризацию группы, которая привела к созданию новой субхолдинговой компании Ratado Holdings Ltd, которой были переданы дочерние предприятия, ранее принадлежавшие O1 Properties Limited. Выплата за акции, переведенные компании Ratado Holdings Limited, была произведена в виде выпуска дополнительных обыкновенных акций компанией Ratado Holdings Ltd в пользу O1 Properties Ltd.  Справедливая стоимость Ratado Holdings Ltd на дату данного перевода была определена с учетом справедливой стоимости переданных дочерних предприятий. Эта реструктуризация не привела к каким-либо прибылям или убыткам на дату реструктуризации.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val="en-US" w:eastAsia="ru-RU" w:bidi="ru-RU"/>
        </w:rPr>
        <w:t xml:space="preserve">17 </w:t>
      </w:r>
      <w:r w:rsidRPr="00743CE5">
        <w:rPr>
          <w:rFonts w:ascii="Tahoma" w:eastAsia="Times New Roman" w:hAnsi="Tahoma" w:cs="Tahoma"/>
          <w:color w:val="000000"/>
          <w:sz w:val="18"/>
          <w:szCs w:val="18"/>
          <w:lang w:eastAsia="ru-RU" w:bidi="ru-RU"/>
        </w:rPr>
        <w:t>октября</w:t>
      </w:r>
      <w:r w:rsidRPr="00743CE5">
        <w:rPr>
          <w:rFonts w:ascii="Tahoma" w:eastAsia="Times New Roman" w:hAnsi="Tahoma" w:cs="Tahoma"/>
          <w:color w:val="000000"/>
          <w:sz w:val="18"/>
          <w:szCs w:val="18"/>
          <w:lang w:val="en-US" w:eastAsia="ru-RU" w:bidi="ru-RU"/>
        </w:rPr>
        <w:t xml:space="preserve"> 2012 </w:t>
      </w:r>
      <w:r w:rsidRPr="00743CE5">
        <w:rPr>
          <w:rFonts w:ascii="Tahoma" w:eastAsia="Times New Roman" w:hAnsi="Tahoma" w:cs="Tahoma"/>
          <w:color w:val="000000"/>
          <w:sz w:val="18"/>
          <w:szCs w:val="18"/>
          <w:lang w:eastAsia="ru-RU" w:bidi="ru-RU"/>
        </w:rPr>
        <w:t>года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Компания</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приобрела</w:t>
      </w:r>
      <w:r w:rsidRPr="00743CE5">
        <w:rPr>
          <w:rFonts w:ascii="Tahoma" w:eastAsia="Times New Roman" w:hAnsi="Tahoma" w:cs="Tahoma"/>
          <w:color w:val="000000"/>
          <w:sz w:val="18"/>
          <w:szCs w:val="18"/>
          <w:lang w:val="en-US" w:eastAsia="ru-RU" w:bidi="ru-RU"/>
        </w:rPr>
        <w:t xml:space="preserve"> 100% </w:t>
      </w:r>
      <w:r w:rsidRPr="00743CE5">
        <w:rPr>
          <w:rFonts w:ascii="Tahoma" w:eastAsia="Times New Roman" w:hAnsi="Tahoma" w:cs="Tahoma"/>
          <w:color w:val="000000"/>
          <w:sz w:val="18"/>
          <w:szCs w:val="18"/>
          <w:lang w:eastAsia="ru-RU" w:bidi="ru-RU"/>
        </w:rPr>
        <w:t>в</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компаниях</w:t>
      </w:r>
      <w:r w:rsidRPr="00743CE5">
        <w:rPr>
          <w:rFonts w:ascii="Tahoma" w:eastAsia="Times New Roman" w:hAnsi="Tahoma" w:cs="Tahoma"/>
          <w:color w:val="000000"/>
          <w:sz w:val="18"/>
          <w:szCs w:val="18"/>
          <w:lang w:val="en-US" w:eastAsia="ru-RU" w:bidi="ru-RU"/>
        </w:rPr>
        <w:t xml:space="preserve"> Hines DPIII Realty Limited (Cyprus), Hines DPIII Development Limited (Cyprus) </w:t>
      </w:r>
      <w:r w:rsidRPr="00743CE5">
        <w:rPr>
          <w:rFonts w:ascii="Tahoma" w:eastAsia="Times New Roman" w:hAnsi="Tahoma" w:cs="Tahoma"/>
          <w:color w:val="000000"/>
          <w:sz w:val="18"/>
          <w:szCs w:val="18"/>
          <w:lang w:eastAsia="ru-RU" w:bidi="ru-RU"/>
        </w:rPr>
        <w:t>и</w:t>
      </w:r>
      <w:r w:rsidRPr="00743CE5">
        <w:rPr>
          <w:rFonts w:ascii="Tahoma" w:eastAsia="Times New Roman" w:hAnsi="Tahoma" w:cs="Tahoma"/>
          <w:color w:val="000000"/>
          <w:sz w:val="18"/>
          <w:szCs w:val="18"/>
          <w:lang w:val="en-US" w:eastAsia="ru-RU" w:bidi="ru-RU"/>
        </w:rPr>
        <w:t xml:space="preserve"> Tropical Sunset Holdings Inc. </w:t>
      </w:r>
      <w:r w:rsidRPr="00743CE5">
        <w:rPr>
          <w:rFonts w:ascii="Tahoma" w:eastAsia="Times New Roman" w:hAnsi="Tahoma" w:cs="Tahoma"/>
          <w:color w:val="000000"/>
          <w:sz w:val="18"/>
          <w:szCs w:val="18"/>
          <w:lang w:eastAsia="ru-RU" w:bidi="ru-RU"/>
        </w:rPr>
        <w:t xml:space="preserve">(British Virgin Islands) у компании, контролируемой Основным владельцем, за общую сумму 167 900 тысяч долларов США. Выплата за переведенные акции была произведена в виде выпуска 16 790 погашемых привилегированных акций.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 февраля 2012 года Компания приобрела 100% акционерного капитала ОАО «Большевик» за 76 045 тысяч долларов США. Инвестиция в ОАО «Большевик» была продана 3 сентября 2012 года за 73 000 тысяч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 января 2013 года Компания продала 100% акций в капитале Lomnia Services Limited компании Quotex Limited за возмещение в размере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21 января 2013 года Компания внесла взнос в капитал новой Компании Mokati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 февраля 2013 года Компания продала 100% акций в капитале Quotex Limited компании Mokati Limited за возмещение в размере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 апреля 2013 года Компания приобрела 100% акций в капитале Yellow Wall S.a.r.l. у компании Centralis S.A. за 12 500 евро, а 25 ноября 2013 года Компания продала данные акции Wallasey Limited за 12 500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2 мая 2013 года Компания приобрела 45 000 акций в капитале Invery Management Limited у компании Barrowgate International Inc. за 45 000 долларов США, и в тот же день Компания приобрела оставшиеся 5 000 акций в капитале Invery Management Limited в форме соглашения о подписке, по которому Компания уплатила 98 996 тысяч долларов США. 31 декабря 2013 года Компания продала</w:t>
      </w:r>
      <w:proofErr w:type="gramEnd"/>
      <w:r w:rsidRPr="00743CE5">
        <w:rPr>
          <w:rFonts w:ascii="Tahoma" w:eastAsia="Times New Roman" w:hAnsi="Tahoma" w:cs="Tahoma"/>
          <w:color w:val="000000"/>
          <w:sz w:val="18"/>
          <w:szCs w:val="18"/>
          <w:lang w:eastAsia="ru-RU" w:bidi="ru-RU"/>
        </w:rPr>
        <w:t xml:space="preserve"> 45 000 акций Invery Management Limited компании Ratado Holding Limited за 89 152 тысячи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мая 2013 года Компания продала 100% акций в капитале Annabeth Services Limited компании Letvion Investments Limited за возмещение в размере 1 000 евро.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24"/>
          <w:szCs w:val="24"/>
          <w:lang w:eastAsia="ru-RU" w:bidi="ru-RU"/>
        </w:rPr>
      </w:pPr>
      <w:r w:rsidRPr="00743CE5">
        <w:rPr>
          <w:rFonts w:ascii="Tahoma" w:eastAsia="Times New Roman" w:hAnsi="Tahoma" w:cs="Tahoma"/>
          <w:b/>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2013 года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мая 2013 года Компания продала 100% акций в капитале Letvion Investments Limited компании Taavo Enterprises Limited за возмещение в размере 1 000 евро. 25 июля 2013 года Компания приобрела 85% акций в капитале Letvion Investments Limited у компании Taavo Enterprises Limited за возмещение в размере 850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 мая 2013 года Компания внесла взнос в капитал новой Компании Kolston Group Limited в объеме 50 000 акций по цене 1 доллар США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мая 2013 года Компания приобрела 100% акций в капитале White Estates Investments Limited у акционера Компании. Выплата в сумме 202 000 тысяч долларов США была произведена в виде выпуска погашемых привилегированных акций.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 июня 2013 года Компания внесла взнос в капитал новой Компании Fundin Investments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 июня 2013 года Компания внесла взнос в капитал новой Компании Gunilla Limited в объеме 1 000 акций по цене 1 евро каждая. 20 ноября 2013 года Компания продала 100% акций в капитале Gunilla Limited компании Sabaton Holding Limited за возмещение в размере 1 000 евро.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августе</w:t>
      </w:r>
      <w:proofErr w:type="gramEnd"/>
      <w:r w:rsidRPr="00743CE5">
        <w:rPr>
          <w:rFonts w:ascii="Tahoma" w:eastAsia="Times New Roman" w:hAnsi="Tahoma" w:cs="Tahoma"/>
          <w:color w:val="000000"/>
          <w:sz w:val="18"/>
          <w:szCs w:val="18"/>
          <w:lang w:eastAsia="ru-RU" w:bidi="ru-RU"/>
        </w:rPr>
        <w:t xml:space="preserve"> 2013 года Компания приобрела 100% акций в капитале Cemvertia Investments Limited у компании Senteriano Investments Limited, Maria Georgiadou и Despo Sokratous за 14 428 тысяч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августа 2013 года Компания внесла взнос в капитал новой Компании Minesign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октября 2013 года Компания внесла взнос в капитал новой Компании Mumford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 ноября 2013 года Компания внесла взнос в капитал новой Компании Thabit Holdings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20 ноября 2013 года Компания внесла взнос в капитал новой Компании Sabaton Holdings Limited в объеме 1 000 акций по цене 1 евро каждая. 20 декабря 2013 года Компания внесла взнос для увеличения акционерного капитала Sabaton Holdings Limited в объеме дополнительных 1 000 акций по цене 1 евро каждая и для увеличения эмиссионного дохода на 84 458 тысяч долларов США.</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декабря 2013 года Компания подписалась на 1,000 акций компании Xeroma Management Limited с премией в сумме 8 825 361 доллар США. В этот же день Компания продала акции по подписке в капитале Xeroma Management Limited компании Bellrun Limited за 1 000 евро.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Доход по дивидендам от инвестиций в дочерние предприятия</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дивидендах, полученных Компанией от своих дочерних предприятий, представлена ниже: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464" w:type="dxa"/>
        <w:tblLayout w:type="fixed"/>
        <w:tblLook w:val="0000" w:firstRow="0" w:lastRow="0" w:firstColumn="0" w:lastColumn="0" w:noHBand="0" w:noVBand="0"/>
      </w:tblPr>
      <w:tblGrid>
        <w:gridCol w:w="5529"/>
        <w:gridCol w:w="2659"/>
        <w:gridCol w:w="1276"/>
      </w:tblGrid>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6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6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6" w:type="dxa"/>
          </w:tcPr>
          <w:p w:rsidR="00743CE5" w:rsidRPr="00743CE5" w:rsidDel="005D6779"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Tropical Sunset Holdings Inc</w:t>
            </w: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135,370,430</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Effusive Holdings Limited</w:t>
            </w: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112,126,613</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«Наш Стандарт»</w:t>
            </w: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703,530</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6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248,200,573</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 xml:space="preserve">                -</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 xml:space="preserve">18. Инвестиции в ассоциированную компанию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9,583,300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9,583,300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Перенос в категорию «Финансовые активы, оцениваемые по справедливой стоимости, изменения которой отражаются в составе прибыли или убытка» (Примечание 17)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(9,583,300)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9,583,300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об инвестициях представлена в таблице ниже: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1281"/>
        <w:gridCol w:w="1555"/>
        <w:gridCol w:w="1556"/>
        <w:gridCol w:w="1137"/>
        <w:gridCol w:w="1138"/>
        <w:gridCol w:w="1411"/>
        <w:gridCol w:w="1282"/>
      </w:tblGrid>
      <w:tr w:rsidR="00743CE5" w:rsidRPr="00743CE5" w:rsidTr="00743CE5">
        <w:tc>
          <w:tcPr>
            <w:tcW w:w="128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Название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Страна регистрации</w:t>
            </w:r>
          </w:p>
        </w:tc>
        <w:tc>
          <w:tcPr>
            <w:tcW w:w="1556"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Основная деятельность</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128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6"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43CE5" w:rsidRPr="00743CE5" w:rsidTr="00743CE5">
        <w:tc>
          <w:tcPr>
            <w:tcW w:w="128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Taavo Enterprises Ltd</w:t>
            </w:r>
          </w:p>
        </w:tc>
        <w:tc>
          <w:tcPr>
            <w:tcW w:w="155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Кипр</w:t>
            </w:r>
          </w:p>
        </w:tc>
        <w:tc>
          <w:tcPr>
            <w:tcW w:w="1556"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Холдинговая компания и финансовые инвестиции</w:t>
            </w:r>
          </w:p>
        </w:tc>
        <w:tc>
          <w:tcPr>
            <w:tcW w:w="11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85</w:t>
            </w:r>
          </w:p>
        </w:tc>
        <w:tc>
          <w:tcPr>
            <w:tcW w:w="113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50</w:t>
            </w:r>
          </w:p>
        </w:tc>
        <w:tc>
          <w:tcPr>
            <w:tcW w:w="1411"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9,583,300</w:t>
            </w:r>
            <w:r w:rsidRPr="00743CE5">
              <w:rPr>
                <w:rFonts w:ascii="Tahoma" w:eastAsia="Times New Roman" w:hAnsi="Tahoma" w:cs="Tahoma"/>
                <w:color w:val="000000"/>
                <w:sz w:val="18"/>
                <w:szCs w:val="18"/>
                <w:lang w:eastAsia="ru-RU" w:bidi="ru-RU"/>
              </w:rPr>
              <w:tab/>
            </w:r>
          </w:p>
        </w:tc>
      </w:tr>
      <w:tr w:rsidR="00743CE5" w:rsidRPr="00743CE5" w:rsidTr="00743CE5">
        <w:tc>
          <w:tcPr>
            <w:tcW w:w="1281"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6"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9,583,300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Акции Taavo Enterprises Ltd переданы в залог в качестве обеспечения по займам других компаний группы.</w:t>
      </w:r>
      <w:r w:rsidRPr="00743CE5">
        <w:rPr>
          <w:rFonts w:ascii="Tahoma" w:eastAsia="Times New Roman" w:hAnsi="Tahoma" w:cs="Tahoma"/>
          <w:color w:val="000000"/>
          <w:sz w:val="18"/>
          <w:szCs w:val="18"/>
          <w:lang w:eastAsia="ru-RU" w:bidi="ru-RU"/>
        </w:rPr>
        <w:br/>
      </w:r>
      <w:r w:rsidRPr="00743CE5">
        <w:rPr>
          <w:rFonts w:ascii="Tahoma" w:eastAsia="Times New Roman" w:hAnsi="Tahoma" w:cs="Tahoma"/>
          <w:color w:val="000000"/>
          <w:sz w:val="18"/>
          <w:szCs w:val="18"/>
          <w:lang w:eastAsia="ru-RU" w:bidi="ru-RU"/>
        </w:rPr>
        <w:br/>
        <w:t xml:space="preserve">11 февраля 2011 года Компания приобрела у Katalama Holdings Ltd 50% долю в капитале Taavo Enterprises Ltd за общую сумму 9 583 300 долларов США. </w:t>
      </w:r>
      <w:r w:rsidRPr="00743CE5">
        <w:rPr>
          <w:rFonts w:ascii="Tahoma" w:eastAsia="Times New Roman" w:hAnsi="Tahoma" w:cs="Tahoma"/>
          <w:color w:val="000000"/>
          <w:sz w:val="18"/>
          <w:szCs w:val="18"/>
          <w:lang w:eastAsia="ru-RU" w:bidi="ru-RU"/>
        </w:rPr>
        <w:br/>
      </w:r>
      <w:r w:rsidRPr="00743CE5">
        <w:rPr>
          <w:rFonts w:ascii="Tahoma" w:eastAsia="Times New Roman" w:hAnsi="Tahoma" w:cs="Tahoma"/>
          <w:color w:val="000000"/>
          <w:sz w:val="18"/>
          <w:szCs w:val="18"/>
          <w:lang w:eastAsia="ru-RU" w:bidi="ru-RU"/>
        </w:rPr>
        <w:br/>
        <w:t>4 апреля 2013 года Компания приобрела у Grace Intervest Ltd еще 35% в капитале Taavo Enterprises Ltd за общую сумму</w:t>
      </w:r>
      <w:proofErr w:type="gramEnd"/>
      <w:r w:rsidRPr="00743CE5">
        <w:rPr>
          <w:rFonts w:ascii="Tahoma" w:eastAsia="Times New Roman" w:hAnsi="Tahoma" w:cs="Tahoma"/>
          <w:color w:val="000000"/>
          <w:sz w:val="18"/>
          <w:szCs w:val="18"/>
          <w:lang w:eastAsia="ru-RU" w:bidi="ru-RU"/>
        </w:rPr>
        <w:t xml:space="preserve"> 8 931 925 долларов США. </w:t>
      </w:r>
      <w:r w:rsidRPr="00743CE5">
        <w:rPr>
          <w:rFonts w:ascii="Tahoma" w:eastAsia="Times New Roman" w:hAnsi="Tahoma" w:cs="Tahoma"/>
          <w:color w:val="000000"/>
          <w:sz w:val="18"/>
          <w:szCs w:val="18"/>
          <w:lang w:eastAsia="ru-RU" w:bidi="ru-RU"/>
        </w:rPr>
        <w:br/>
      </w:r>
      <w:r w:rsidRPr="00743CE5">
        <w:rPr>
          <w:rFonts w:ascii="Tahoma" w:eastAsia="Times New Roman" w:hAnsi="Tahoma" w:cs="Tahoma"/>
          <w:color w:val="000000"/>
          <w:sz w:val="18"/>
          <w:szCs w:val="18"/>
          <w:lang w:eastAsia="ru-RU" w:bidi="ru-RU"/>
        </w:rPr>
        <w:br/>
      </w:r>
      <w:proofErr w:type="gramStart"/>
      <w:r w:rsidRPr="00743CE5">
        <w:rPr>
          <w:rFonts w:ascii="Tahoma" w:eastAsia="Times New Roman" w:hAnsi="Tahoma" w:cs="Tahoma"/>
          <w:color w:val="000000"/>
          <w:sz w:val="18"/>
          <w:szCs w:val="18"/>
          <w:lang w:eastAsia="ru-RU" w:bidi="ru-RU"/>
        </w:rPr>
        <w:t>В результате увеличения доли в капитале до 85% указанная выше инвестиция была переведена в категорию инвестиций в дочерние предприятия, которая классифицируется и оценивается как финансовые активы, оцениваемые по справедливой стоимости, изменения которой отражаются в составе прибыли или убытка.</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19. Финансовые активы, имеющиеся в наличии для продажи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658,548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658,548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 состоянию на конец марта 2013 года остатки денежных средств Компании в Банке Кипра составили 2 256 тысяч евро. Сумма в размере 1 024 тысячи евро, представляющая собой 47,5% незастрахованных депозитов, конвертирована в акции Банка Кипр номинальной стоимостью 1 евро за акцию после вовлечения незастрахованных вкладчиков (суммы свыше 100 тысяч евро) в программу рекапитализации Банка Кипра.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Согласно оценке руководства, был понесен убыток от обесценения остатков на банковских счетах в сумме 658 548 долларов США, отраженный в составе прибыли или убытка за год, закончившийся 31 декабря 2013 года (Примечание 9), и акции, полученные в результате конвертации банковских вкладов в акции, как описано выше, отражены в сумме 658 548 долларов США.</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 xml:space="preserve">20. Производные финансовые инструменты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 положительная справедливая стоимость</w:t>
            </w: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2,027,023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049"/>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2,027,023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049"/>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Обязательства – отрицательная справедливая стоимость</w:t>
            </w: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685,525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164"/>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4,132,419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685,525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164"/>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4,132,419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2013 года Компания имела договоры на процентные свопы в общей сумме 215 700 000 долларов США (2012 г.: 425 000 000 долларов США) со сроком действия до 28 июля 2016 года, по которым Компания осуществляла выплаты по фиксированной ставке в обмен на плавающую ставку.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также имела валютный контракт на покупку 2 969 500 000 рублей за 90 121 396 долларов США, срок </w:t>
      </w:r>
      <w:proofErr w:type="gramStart"/>
      <w:r w:rsidRPr="00743CE5">
        <w:rPr>
          <w:rFonts w:ascii="Tahoma" w:eastAsia="Times New Roman" w:hAnsi="Tahoma" w:cs="Tahoma"/>
          <w:color w:val="000000"/>
          <w:sz w:val="18"/>
          <w:szCs w:val="18"/>
          <w:lang w:eastAsia="ru-RU" w:bidi="ru-RU"/>
        </w:rPr>
        <w:t>действия</w:t>
      </w:r>
      <w:proofErr w:type="gramEnd"/>
      <w:r w:rsidRPr="00743CE5">
        <w:rPr>
          <w:rFonts w:ascii="Tahoma" w:eastAsia="Times New Roman" w:hAnsi="Tahoma" w:cs="Tahoma"/>
          <w:color w:val="000000"/>
          <w:sz w:val="18"/>
          <w:szCs w:val="18"/>
          <w:lang w:eastAsia="ru-RU" w:bidi="ru-RU"/>
        </w:rPr>
        <w:t xml:space="preserve"> которого истекает 20 июля 2017 года.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2013 года чистая положительная справедливая стоимость этих контрактов составила 1 341 498 долларов США (2012 г.: отрицательная справедливая стоимость 4 132 419 долларов США).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21. Займы выданные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собственным дочерним предприятиям (Примечание 28)</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35,806,230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284,178,750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связанным сторонам (Примечание 28)</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49,260,087</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27,435,445</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третьим сторонам</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502,428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329,756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85,568,745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311,943,951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 вычетом текущей части</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(35,944,600)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(17,781,224)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Долгосрочная часть </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49,624,145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294,162,727</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Займы подлежат </w:t>
      </w:r>
      <w:proofErr w:type="gramStart"/>
      <w:r w:rsidRPr="00743CE5">
        <w:rPr>
          <w:rFonts w:ascii="Tahoma" w:eastAsia="Times New Roman" w:hAnsi="Tahoma" w:cs="Tahoma"/>
          <w:color w:val="000000"/>
          <w:sz w:val="18"/>
          <w:szCs w:val="18"/>
          <w:lang w:eastAsia="ru-RU" w:bidi="ru-RU"/>
        </w:rPr>
        <w:t>погашению</w:t>
      </w:r>
      <w:proofErr w:type="gramEnd"/>
      <w:r w:rsidRPr="00743CE5">
        <w:rPr>
          <w:rFonts w:ascii="Tahoma" w:eastAsia="Times New Roman" w:hAnsi="Tahoma" w:cs="Tahoma"/>
          <w:color w:val="000000"/>
          <w:sz w:val="18"/>
          <w:szCs w:val="18"/>
          <w:lang w:eastAsia="ru-RU" w:bidi="ru-RU"/>
        </w:rPr>
        <w:t xml:space="preserve"> согласно следующему графику: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Менее 1 года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35,944,600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17,781,224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Сроком от 1 года до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19,349,113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294,162,727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30,275,032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85,568,745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311,943,951</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дебиторской задолженности по займам приблизительно равна ее балансовой стоимости, как указано выше.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 Компании не имеется какого-либо залога в качестве обеспечения дебиторской задолженности по займам, указанным выше.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Ни одна из перечисленных выше статей дебиторской задолженности по займам не является просроченной или обесцененной.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br w:type="page"/>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22. Дебиторская задолженность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собственных дочерних предприятий и прочих связанных сторон (Примечание 28.4)</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28,973,568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19,607,757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акционеров (Примечание 28.8)</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225,003,565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1,323</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Предоплата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23,001,000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Прочая дебиторская задолженность</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699,889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6,327,888</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277,678,022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25,936,968</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торговой и прочей дебиторской задолженности со сроком погашения до 1 года приблизительно равна ее балансовой стоимости, как указано выше.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23. Денежные средства и их эквиваленты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Анализ остатков денежных сре</w:t>
      </w:r>
      <w:proofErr w:type="gramStart"/>
      <w:r w:rsidRPr="00743CE5">
        <w:rPr>
          <w:rFonts w:ascii="Tahoma" w:eastAsia="Times New Roman" w:hAnsi="Tahoma" w:cs="Tahoma"/>
          <w:color w:val="000000"/>
          <w:sz w:val="18"/>
          <w:szCs w:val="18"/>
          <w:lang w:eastAsia="ru-RU" w:bidi="ru-RU"/>
        </w:rPr>
        <w:t>дств пр</w:t>
      </w:r>
      <w:proofErr w:type="gramEnd"/>
      <w:r w:rsidRPr="00743CE5">
        <w:rPr>
          <w:rFonts w:ascii="Tahoma" w:eastAsia="Times New Roman" w:hAnsi="Tahoma" w:cs="Tahoma"/>
          <w:color w:val="000000"/>
          <w:sz w:val="18"/>
          <w:szCs w:val="18"/>
          <w:lang w:eastAsia="ru-RU" w:bidi="ru-RU"/>
        </w:rPr>
        <w:t>едставлен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2,614,659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2,614,659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Анализ по валютам: </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Доллары США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1,656,563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2,575,588</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Евро</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18,882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1,505</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Российский рубль</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2,671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37,566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2,614,659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83"/>
          <w:footerReference w:type="default" r:id="rId84"/>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24. Акционерный капитал и эмиссионный доход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10082" w:type="dxa"/>
        <w:tblInd w:w="39" w:type="dxa"/>
        <w:tblLayout w:type="fixed"/>
        <w:tblCellMar>
          <w:left w:w="0" w:type="dxa"/>
          <w:right w:w="0" w:type="dxa"/>
        </w:tblCellMar>
        <w:tblLook w:val="0000" w:firstRow="0" w:lastRow="0" w:firstColumn="0" w:lastColumn="0" w:noHBand="0" w:noVBand="0"/>
      </w:tblPr>
      <w:tblGrid>
        <w:gridCol w:w="2127"/>
        <w:gridCol w:w="1296"/>
        <w:gridCol w:w="1138"/>
        <w:gridCol w:w="1118"/>
        <w:gridCol w:w="1560"/>
        <w:gridCol w:w="1417"/>
        <w:gridCol w:w="1426"/>
      </w:tblGrid>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Выпущенный и полностью оплаченный</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Количество обыкновенных акций</w:t>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right="-29"/>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Количество привилегированных акций</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Акционерный капитал</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обыкновенные акции</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погашаемые привилегированные акции</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w:t>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noBreakHyphen/>
              <w:t xml:space="preserve">Остаток на 1 января 2012 г. </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13,000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17,764</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468,566,000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468,583,764</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Дробление акций</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1,287,000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05"/>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Дополнительный выпуск обыкновенных акций 2 марта 2012 года </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48,893,544</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650,040</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2,679,927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3,329,967</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Выпуск погашаемых привилегированных акций 9 декабря 2012 года </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0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16,790</w:t>
            </w:r>
            <w:r w:rsidRPr="00743CE5">
              <w:rPr>
                <w:rFonts w:ascii="Tahoma" w:eastAsia="Times New Roman" w:hAnsi="Tahoma" w:cs="Tahoma"/>
                <w:color w:val="000000"/>
                <w:sz w:val="18"/>
                <w:szCs w:val="18"/>
                <w:lang w:eastAsia="ru-RU" w:bidi="ru-RU"/>
              </w:rPr>
              <w:tab/>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ind w:right="97"/>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168</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167,899,832</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167,900,000</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Остаток на 31 декабря 2012 г.</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50,193,544</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16,790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667,972</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471,245,927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167,899,832</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639,813,731</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 (акции класса А)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20,381,490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203,815</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(203,815)</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05"/>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 (акции класса В)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199,120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2,595</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2,595</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акций 30 декабря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11,503,068</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150,947</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224,849,057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225,000,004</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Выпуск погашаемых привилегированных акций 9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20,200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202</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201,999,798</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202,000,000</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Погашение привилегированных акций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36,990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(36,990)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left" w:pos="931"/>
                <w:tab w:val="right" w:pos="102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369,899,630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(369,899,630)</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05"/>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r w:rsidRPr="00743CE5">
              <w:rPr>
                <w:rFonts w:ascii="Tahoma" w:eastAsia="Times New Roman" w:hAnsi="Tahoma" w:cs="Tahoma"/>
                <w:color w:val="000000"/>
                <w:sz w:val="18"/>
                <w:szCs w:val="18"/>
                <w:lang w:eastAsia="ru-RU" w:bidi="ru-RU"/>
              </w:rPr>
              <w:tab/>
            </w:r>
          </w:p>
        </w:tc>
      </w:tr>
      <w:tr w:rsidR="00743CE5" w:rsidRPr="00743CE5" w:rsidTr="00743CE5">
        <w:tc>
          <w:tcPr>
            <w:tcW w:w="2127"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 2013 г.</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82,314,212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1,025,531</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1,065,790,799</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1,066,816,330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События, произошедшие в 2012 году: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 марта 2012 года Компания приняла решение о том, что ее объявленный и выпущенный акционерный капитал в размере 13 тысяч евро, разделенный на 13 000 акций стоимостью 1 евро за акцию, будет подразделен на 1 300 000 акций стоимостью 0,01 евро за акцию. В тот же день Компания приняла решение о том, что объявленный акционерный капитал будет увеличен с 13 тысяч евро, разделенных на 1 300 000 акций стоимостью 0,01 евро за акцию, до 2 000 тысяч евро, разделенных на 200 000 000 акций стоимостью 0,01 евро за акцию.</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 марта 2012 года Компания выпустила 48 700 000 обыкновенных акций стоимостью 0,01 евро за акцию по номинальной стоимости и 193 544 обыкновенных акции стоимостью 0,01 евро за акцию с премией 10,4149 евро на акцию. Общая сумма возмещения составила 2 505 000 евро (3 300 тысяч долларов США).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br w:type="page"/>
        <w:t>24. Акционерный капитал и эмиссионный доход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События, произошедшие в 2012 году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5 декабря 2012 года Компания приняла решение о том, что объявленный акционерный капитал будет увеличен с 2 000 000 евро, разделенных на 200 000 000 обыкновенных акций номинальной стоимостью 0,01 евро за акцию, до 2 000 000 евро и 173 долларов США, разделенных на 200 000 000 обыкновенных акций номинальной стоимостью 0,01 евро, и 17 300 подлежащих погашению привилегированных акций</w:t>
      </w:r>
      <w:proofErr w:type="gramEnd"/>
      <w:r w:rsidRPr="00743CE5">
        <w:rPr>
          <w:rFonts w:ascii="Tahoma" w:eastAsia="Times New Roman" w:hAnsi="Tahoma" w:cs="Tahoma"/>
          <w:color w:val="000000"/>
          <w:sz w:val="18"/>
          <w:szCs w:val="18"/>
          <w:lang w:eastAsia="ru-RU" w:bidi="ru-RU"/>
        </w:rPr>
        <w:t xml:space="preserve"> номинальной стоимостью 0,01 доллара США за счет создания 17 300 новых подлежащих погашению привилегированных акций номинальной стоимостью 0,01 доллара США за акцию.</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 декабря 2012 года Компания выпустила 16 790 привилегированных акций, подлежащих погашению, стоимостью 0,01 доллара США за акцию с премией 9 999,99 доллара США на акцию.</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Подлежащие погашению привилегированные акции (1) конвертируются по усмотрению владельца в обыкновенные акции в соответствии с установленным коэффициентом конвертации через 36 месяцев после выпуска, (2) погашаются Компанией по ее исключительному усмотрению в любое время на сумму, равную их номинальной стоимости плюс премии или иному выпущенному капиталу, плюс накопленные, невыплаченные и причитающиеся к выплате дивиденды, (3) не имеют прав голоса, (4) имеют</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возможность получения квартальных дивидендов по ставке 2,5% по исключительному усмотрению и решению Совета директоров Компании и (5) если дивиденды на подлежащие погашению привилегированные акции не выплачены, то (а) невыплаченные дивиденды аккумулируются для будущих платежей, (б) владельцы подлежащих погашению привилегированных акций получают права голоса до тех пор, пока накопленные дивиденды на подлежащие погашению привилегированные акции не будут выплачены в полном объеме</w:t>
      </w:r>
      <w:proofErr w:type="gramEnd"/>
      <w:r w:rsidRPr="00743CE5">
        <w:rPr>
          <w:rFonts w:ascii="Tahoma" w:eastAsia="Times New Roman" w:hAnsi="Tahoma" w:cs="Tahoma"/>
          <w:color w:val="000000"/>
          <w:sz w:val="18"/>
          <w:szCs w:val="18"/>
          <w:lang w:eastAsia="ru-RU" w:bidi="ru-RU"/>
        </w:rPr>
        <w:t xml:space="preserve"> и (в) дивиденды на обыкновенные акции не будут выплачиваться до тех пор, пока в полном объеме не будут выплачены накопленные дивиденды на подлежащие погашению привилегированные акции.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Cs/>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События, произошедшие в 2013 году: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9 июня 2013 года Компания выпустила 20 200 погашаемых привилегированных акций в пользу Nori Holdings Limited с номинальной стоимостью 0,01 доллара США и эмиссионным доходом 9 999,99 долларов США. Акции были выпущены в качестве возмещения за передачу компанией Nori Holdings Limited 100% акций в капитале White Estates Investments Limited (приобретение White Square).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В июне 2013 года акционеры Компании утвердили реструктуризацию акционерного капитала, в соответствии с которой: (1) объявленные 37 500 погашаемых привилегированных акций номинальной стоимостью 0,01 доллара США за акцию были конвертированы в 20 700 000 акций класса «A» номинальной стоимостью 0,01 доллара США за акцию;</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(2) объявленные 200 000 000 обыкновенных акций номинальной стоимостью 0,01 евро за акцию были конвертированы в 200 000 000 акций класса «B» номинальной стоимостью 0,01 евро за акцию; (3) выпущенные 36 990 погашаемых привилегированных акций номинальной стоимостью 0,01 доллара США за акцию были конвертированы в 36 990 акций класса «A» номинальной стоимостью 0,01 доллара США за акцию;</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(4) выпущенные 50 193 544 обыкновенных акции номинальной стоимостью 0,01 евро за акцию были конвертированы в 50 193 544 акции класса «B» номинальной стоимостью 0,01 евро за акцию; и (5) дополнительные 20 381 490 акций класса «A» номинальной стоимостью 0,01 доллара США за акцию были выпущены из объявленного акционерного капитала и распределены в пользу Nori Holding Limited.</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соответствии с Уставом Компании акции класса «A» (1) не имеют права голоса, (2) предоставляют возможность получения некумулятивны</w:t>
      </w:r>
      <w:proofErr w:type="gramStart"/>
      <w:r w:rsidRPr="00743CE5">
        <w:rPr>
          <w:rFonts w:ascii="Tahoma" w:eastAsia="Times New Roman" w:hAnsi="Tahoma" w:cs="Tahoma"/>
          <w:color w:val="000000"/>
          <w:sz w:val="18"/>
          <w:szCs w:val="18"/>
          <w:lang w:eastAsia="ru-RU" w:bidi="ru-RU"/>
        </w:rPr>
        <w:t>х</w:t>
      </w:r>
      <w:r w:rsidRPr="00743CE5">
        <w:rPr>
          <w:rFonts w:ascii="Tahoma" w:eastAsia="Times New Roman" w:hAnsi="Tahoma" w:cs="Tahoma"/>
          <w:color w:val="000000"/>
          <w:sz w:val="18"/>
          <w:szCs w:val="18"/>
          <w:lang w:eastAsia="ru-RU" w:bidi="ru-RU"/>
        </w:rPr>
        <w:noBreakHyphen/>
      </w:r>
      <w:proofErr w:type="gramEnd"/>
      <w:r w:rsidRPr="00743CE5">
        <w:rPr>
          <w:rFonts w:ascii="Tahoma" w:eastAsia="Times New Roman" w:hAnsi="Tahoma" w:cs="Tahoma"/>
          <w:color w:val="000000"/>
          <w:sz w:val="18"/>
          <w:szCs w:val="18"/>
          <w:lang w:eastAsia="ru-RU" w:bidi="ru-RU"/>
        </w:rPr>
        <w:t xml:space="preserve"> квартальных дивидендов по исключительному усмотрению Совета директоров Компании в сумме не более 2,17 долларов США в год на акцию в первоочередном порядке по сравнению с другими видами акций, (3) предоставляют возможность получения выплат не более 18,11 долларов США на акцию в случае ликвидации и (4) предоставляют держателю право на конвертацию своих акций класса «A» в такое же количество акций класса «B» при условии оплаты стоимости обмена, рассчитанной Компанией. Акции класса «B» (1) имеют права голоса, (2) предоставляют возможность получения дивидендов, если как минимум минимальная сумма дивидендов распределена в пользу держателей акций класса «A» за тот же период, и (3) предоставляют право на получение дивидендов в случае ликвидации.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br w:type="page"/>
        <w:t>24. Акционерный капитал и эмиссионный доход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События, произошедшие в 2013 году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июне</w:t>
      </w:r>
      <w:proofErr w:type="gramEnd"/>
      <w:r w:rsidRPr="00743CE5">
        <w:rPr>
          <w:rFonts w:ascii="Tahoma" w:eastAsia="Times New Roman" w:hAnsi="Tahoma" w:cs="Tahoma"/>
          <w:color w:val="000000"/>
          <w:sz w:val="18"/>
          <w:szCs w:val="18"/>
          <w:lang w:eastAsia="ru-RU" w:bidi="ru-RU"/>
        </w:rPr>
        <w:t xml:space="preserve"> 2013 года некоторые члены высшего руководства Группы оформили подписку на 347 354 акции класса «В» Компании, из которых 199 120 акций были выпущены по состоянию 31 декабря 2013 года. Акции регистрируются на имя соответствующих акционеров по частям в течение периода с 28 июня 2013 года по 1 января 2015 года. Незарегистрированные части не могут быть зарегистрированы лишь в случае грубой небрежности соответствующего члена руководства Группы при исполнении им своих обязанностей. Подписка была отражена в составе капитала по справедливой стоимости подписанных акций на дату подписки.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 декабря 2013 года Компания выпустила в пользу Centimila Services Limited и Coniston Management Limited 11 503 068 акций класса «B» (6 306 651 акцию и 5 196 417 акций соответственно) за возмещение в размере 19,56 долларов США за акцию. Общая сумма возмещения составила 225 000 тысяч долларов США и была уплачена беспроцентными векселями, выпущенными компаниями Centimilla Services Limited и Coniston Management Limited, общей номинальной стоимостью 225 000 тысяч долларов США с оплатой по предъявлении, но не ранее 30 января 2014 года. Векселя обеспечены гарантией, выпущенной компанией O1 Group Limited, находящейся под контролем Основного владельца (Примечание 30). Информация о денежных платежах, полученных за векселя, приведена в Примечании 31.</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События, произошедшие в 2014 году: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proofErr w:type="gramEnd"/>
      <w:r w:rsidRPr="00743CE5">
        <w:rPr>
          <w:rFonts w:ascii="Tahoma" w:eastAsia="Times New Roman" w:hAnsi="Tahoma" w:cs="Tahoma"/>
          <w:color w:val="000000"/>
          <w:sz w:val="18"/>
          <w:szCs w:val="18"/>
          <w:lang w:eastAsia="ru-RU" w:bidi="ru-RU"/>
        </w:rPr>
        <w:t xml:space="preserve"> 2014 года некоторые члены высшего руководства компании или ее аффилированных предприятий оформили подписку на 266 250 акций класса «В» Компании по номинальной стоимости. Акции регистрируются на имя соответствующих акционеров по частям в течение периода с 17 апреля 2014 года по 1 января 2016 года. Незарегистрированные части не могут быть зарегистрированы лишь в случае увольнения соответствующего члена руководства компании в связи с его грубой небрежностью при исполнении своих обязанностей. См. Примечание 31.</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25. Заемные средства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кредиты и займы</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10,002,466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10,007,787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заемные средства</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15,265,000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полученные от связанных сторон (Примечание 28.7)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43,863,160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53,865,626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25,272,787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кредиты и займы</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150,141,054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полученные от связанных сторон (Примечание 28.7)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144,753,539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294,894,593</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Итого </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209,615,158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320,167,380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Сроки погашения долгосрочных кредитов и займов: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2 до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155,749,532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294,894,593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30 декабря 2011 года был подписан кредитный договор с ВТБ Капитал на сумму 263 000 000 долларов США с процентной ставкой в размере трехмесячного ЛИБОР + 6,25% + капитализированная процентная ставка 4,35%. Данный кредит подлежит погашению 30 декабря 2014 года. 20 июля 2012 года компания подписала дополнительное соглашение с ВТБ Капитал об уменьшении суммы кредита до 223 000 000 долларов США и</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изменении</w:t>
      </w:r>
      <w:proofErr w:type="gramEnd"/>
      <w:r w:rsidRPr="00743CE5">
        <w:rPr>
          <w:rFonts w:ascii="Tahoma" w:eastAsia="Times New Roman" w:hAnsi="Tahoma" w:cs="Tahoma"/>
          <w:color w:val="000000"/>
          <w:sz w:val="18"/>
          <w:szCs w:val="18"/>
          <w:lang w:eastAsia="ru-RU" w:bidi="ru-RU"/>
        </w:rPr>
        <w:t xml:space="preserve"> процентной ставки до трехмесячного ЛИБОР + 6,25%. Данный кредит был погашен в первом квартале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 августа 2012 года был подписан кредитный договор с Кредит Европа Банком на сумму 10 000 000 долларов США с процентной ставкой 9,5%. Данный кредит подлежал погашению 2014 года и был в полном объеме погашен на эту дату.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25. Заемные средства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8 ноября 2012 года был подписан договор займа с компанией Railways Development Limited на сумму 15 000 000 долларов США с процентной ставкой 12%. Кредит был погашен 18 сентября 2013 г.</w:t>
      </w:r>
      <w:r w:rsidRPr="00743CE5">
        <w:rPr>
          <w:rFonts w:ascii="Tahoma" w:eastAsia="Times New Roman" w:hAnsi="Tahoma" w:cs="Tahoma"/>
          <w:color w:val="000000"/>
          <w:sz w:val="18"/>
          <w:szCs w:val="18"/>
          <w:lang w:eastAsia="ru-RU" w:bidi="ru-RU"/>
        </w:rPr>
        <w:br/>
      </w:r>
      <w:r w:rsidRPr="00743CE5">
        <w:rPr>
          <w:rFonts w:ascii="Tahoma" w:eastAsia="Times New Roman" w:hAnsi="Tahoma" w:cs="Tahoma"/>
          <w:color w:val="000000"/>
          <w:sz w:val="18"/>
          <w:szCs w:val="18"/>
          <w:lang w:eastAsia="ru-RU" w:bidi="ru-RU"/>
        </w:rPr>
        <w:br/>
        <w:t>По состоянию на 31 декабря 2013 года и 31 декабря 2012 года Компанией были соблюдены финансовые ограничительные условия, предусмотренные кредитными договорами с банками.</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дебиторской задолженности приблизительно равна ее балансовой стоимости, как указано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26. Торговая и прочая кредиторская задолженность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Текущие счета акционеров </w:t>
            </w:r>
            <w:r w:rsidRPr="00743CE5">
              <w:rPr>
                <w:rFonts w:ascii="Tahoma" w:eastAsia="Times New Roman" w:hAnsi="Tahoma" w:cs="Tahoma"/>
                <w:color w:val="000000"/>
                <w:sz w:val="18"/>
                <w:szCs w:val="18"/>
                <w:lang w:eastAsia="ru-RU" w:bidi="ru-RU"/>
              </w:rPr>
              <w:noBreakHyphen/>
              <w:t xml:space="preserve"> кредитовые остатки (Примечание 28.9)</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2,331,141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кредиторская задолженность и начисленные расходы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972,150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1,164,865</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кредиторы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422,972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6,660,717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собственными дочерними предприятиями и прочими связанными сторонами (Примечание 28.6)</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46,277,003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36,982,339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47,672,125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47,139,062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торговой и прочей кредиторской задолженности со сроком погашения до 1 года приблизительно равна ее балансовой стоимости (см.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 Текущие налоговые обязательства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7,116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7,116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Специальный сбор на нужды обороны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2,466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9,582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7,116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 Операции со связанными сторонами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2013 года материнской компанией Компании являлась Centimila Services Limited, которой принадлежало 54,408% (2012 г.: 54,614%) обыкновенных акций Компании. На 31 декабря 2013 года Coniston Management Limited (Британские Виргинские острова) владела 44,829% (2012 г.: 45%) обыкновенных акций Компании. Основным владельцем Группы являлся г-н Борис Минц, гражданин Российской Федерации (далее - «Основной владелец»). Информация об изменениях структуры собственности после 31 декабря 2013 года представлена в Примечании 31.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Для целей составления данной финансовой отчетности стороны считаются связанными, если одна из них имеет возможность контролировать другую, находится под общим контролем или может оказывать существенное влияние при принятии другой стороной финансовых и операционных решений, как изложено в МСФО (IAS) 24 «Раскрытие информации о связанных сторонах». При рассмотрении каждого случая отношений, которые могут являться отношениями со связанными сторонами, необходимо принимать во внимание содержание (сущность) таких отношений, а не только их юридическую форму.</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2013 и 2012 гг. в ходе обычной деятельности были осуществлены операции со связанными сторонами. Некоторые из этих операций, особенно в тех случаях, когда отсутствует активный рынок, были совершены на условиях, согласованных между сторонами.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28. Операции со связанными сторонами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 связанными сторонами осуществлялись следующие операции: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28.1 Вознаграждение старшему руководящему персоналу (Примечание 8)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right="1814"/>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вознаграждении старшему руководящему персоналу, в том числе о вознаграждении директорам, представлена ниже:</w:t>
      </w:r>
    </w:p>
    <w:p w:rsidR="00743CE5" w:rsidRPr="00743CE5" w:rsidRDefault="00743CE5" w:rsidP="00743CE5">
      <w:pPr>
        <w:widowControl w:val="0"/>
        <w:autoSpaceDE w:val="0"/>
        <w:autoSpaceDN w:val="0"/>
        <w:adjustRightInd w:val="0"/>
        <w:spacing w:after="0" w:line="240" w:lineRule="auto"/>
        <w:ind w:right="1814"/>
        <w:rPr>
          <w:rFonts w:ascii="Tahoma" w:eastAsia="Times New Roman" w:hAnsi="Tahoma" w:cs="Tahoma"/>
          <w:b/>
          <w:bCs/>
          <w:color w:val="000000"/>
          <w:sz w:val="18"/>
          <w:szCs w:val="18"/>
          <w:lang w:eastAsia="ru-RU" w:bidi="ru-RU"/>
        </w:rPr>
      </w:pPr>
    </w:p>
    <w:tbl>
      <w:tblPr>
        <w:tblW w:w="9464" w:type="dxa"/>
        <w:tblLayout w:type="fixed"/>
        <w:tblLook w:val="0000" w:firstRow="0" w:lastRow="0" w:firstColumn="0" w:lastColumn="0" w:noHBand="0" w:noVBand="0"/>
      </w:tblPr>
      <w:tblGrid>
        <w:gridCol w:w="6771"/>
        <w:gridCol w:w="1417"/>
        <w:gridCol w:w="1276"/>
      </w:tblGrid>
      <w:tr w:rsidR="00743CE5" w:rsidRPr="00743CE5" w:rsidTr="00743CE5">
        <w:tc>
          <w:tcPr>
            <w:tcW w:w="677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77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77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w:t>
            </w: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695,018</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643,472</w:t>
            </w:r>
          </w:p>
        </w:tc>
      </w:tr>
      <w:tr w:rsidR="00743CE5" w:rsidRPr="00743CE5" w:rsidTr="00743CE5">
        <w:tc>
          <w:tcPr>
            <w:tcW w:w="677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основанная на акциях – план выплат долевыми инструментами</w:t>
            </w:r>
          </w:p>
        </w:tc>
        <w:tc>
          <w:tcPr>
            <w:tcW w:w="1417"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5,329,321</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771"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основанная на акциях – план выплат денежными средствами</w:t>
            </w:r>
          </w:p>
        </w:tc>
        <w:tc>
          <w:tcPr>
            <w:tcW w:w="1417" w:type="dxa"/>
            <w:tcBorders>
              <w:bottom w:val="single" w:sz="4" w:space="0" w:color="auto"/>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76"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11,000</w:t>
            </w:r>
          </w:p>
        </w:tc>
      </w:tr>
      <w:tr w:rsidR="00743CE5" w:rsidRPr="00743CE5" w:rsidTr="00743CE5">
        <w:tc>
          <w:tcPr>
            <w:tcW w:w="6771"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7" w:type="dxa"/>
            <w:tcBorders>
              <w:top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6,024,339</w:t>
            </w:r>
          </w:p>
        </w:tc>
        <w:tc>
          <w:tcPr>
            <w:tcW w:w="1276" w:type="dxa"/>
            <w:tcBorders>
              <w:top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654,472</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iCs/>
          <w:color w:val="000000"/>
          <w:sz w:val="18"/>
          <w:szCs w:val="18"/>
          <w:lang w:eastAsia="ru-RU" w:bidi="ru-RU"/>
        </w:rPr>
        <w:t>Подробная информация о планах выплат, основанных на акциях, представлена в Примечании 30.</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28.2 Процентный доход (Примечание 5)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bl>
      <w:tblPr>
        <w:tblW w:w="9464" w:type="dxa"/>
        <w:tblLayout w:type="fixed"/>
        <w:tblLook w:val="0000" w:firstRow="0" w:lastRow="0" w:firstColumn="0" w:lastColumn="0" w:noHBand="0" w:noVBand="0"/>
      </w:tblPr>
      <w:tblGrid>
        <w:gridCol w:w="6204"/>
        <w:gridCol w:w="1701"/>
        <w:gridCol w:w="1559"/>
      </w:tblGrid>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Flybase Investments Ltd</w:t>
            </w:r>
          </w:p>
        </w:tc>
        <w:tc>
          <w:tcPr>
            <w:tcW w:w="1701"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2,942,854</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«Стройпромпласт»</w:t>
            </w:r>
          </w:p>
        </w:tc>
        <w:tc>
          <w:tcPr>
            <w:tcW w:w="1701"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3,505,509</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Sandix Group B.V.</w:t>
            </w:r>
          </w:p>
        </w:tc>
        <w:tc>
          <w:tcPr>
            <w:tcW w:w="1701" w:type="dxa"/>
          </w:tcPr>
          <w:p w:rsidR="00743CE5" w:rsidRPr="00743CE5" w:rsidRDefault="00743CE5" w:rsidP="00743CE5">
            <w:pPr>
              <w:widowControl w:val="0"/>
              <w:tabs>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4,682</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Dawson Int'l Inc.</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1,350,270</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1,350,270</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Xeroma Management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682,483</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577,750</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Paremos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4,376,323</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13,846,300</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2,057,794</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956,256</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Ratado Holding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942,481</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3,343,097</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Фирма «Морава»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967,418</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14,760</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tabs>
                <w:tab w:val="right" w:pos="1306"/>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Belegar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245,043</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Upstalen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732</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Discovery Russian Realty Paveletskaya Project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val="en-US" w:eastAsia="ru-RU" w:bidi="ru-RU"/>
              </w:rPr>
              <w:t xml:space="preserve">     </w:t>
            </w:r>
            <w:r w:rsidRPr="00743CE5">
              <w:rPr>
                <w:rFonts w:ascii="Tahoma" w:eastAsia="Times New Roman" w:hAnsi="Tahoma" w:cs="Tahoma"/>
                <w:b/>
                <w:color w:val="000000"/>
                <w:sz w:val="18"/>
                <w:szCs w:val="18"/>
                <w:lang w:eastAsia="ru-RU" w:bidi="ru-RU"/>
              </w:rPr>
              <w:t>679,989</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Mervita Holdings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19,252</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Tzortis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17,751</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Pianconero Investments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63,399</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Gunilla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108,340</w:t>
            </w:r>
          </w:p>
        </w:tc>
        <w:tc>
          <w:tcPr>
            <w:tcW w:w="1559" w:type="dxa"/>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Акционер:</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Group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711,133</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Предприятие под общим контролем:</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Ltd</w:t>
            </w:r>
          </w:p>
        </w:tc>
        <w:tc>
          <w:tcPr>
            <w:tcW w:w="1701"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     292,134</w:t>
            </w:r>
          </w:p>
        </w:tc>
        <w:tc>
          <w:tcPr>
            <w:tcW w:w="1559" w:type="dxa"/>
            <w:tcBorders>
              <w:bottom w:val="single" w:sz="4" w:space="0" w:color="auto"/>
            </w:tcBorders>
          </w:tcPr>
          <w:p w:rsidR="00743CE5" w:rsidRPr="00743CE5" w:rsidRDefault="00743CE5" w:rsidP="00743CE5">
            <w:pPr>
              <w:widowControl w:val="0"/>
              <w:tabs>
                <w:tab w:val="right" w:pos="1061"/>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11,803,409</w:t>
            </w:r>
          </w:p>
        </w:tc>
        <w:tc>
          <w:tcPr>
            <w:tcW w:w="1559"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27,252,611</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28. Операции со связанными сторонами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28.3 Процентные расходы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bl>
      <w:tblPr>
        <w:tblW w:w="9464" w:type="dxa"/>
        <w:tblLayout w:type="fixed"/>
        <w:tblLook w:val="0000" w:firstRow="0" w:lastRow="0" w:firstColumn="0" w:lastColumn="0" w:noHBand="0" w:noVBand="0"/>
      </w:tblPr>
      <w:tblGrid>
        <w:gridCol w:w="6204"/>
        <w:gridCol w:w="1701"/>
        <w:gridCol w:w="1559"/>
      </w:tblGrid>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Horus Capital</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Hines DPIII Development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97,348</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Hines DPIII Realty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66,962</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Effusive Holdings Ltd</w:t>
            </w:r>
          </w:p>
        </w:tc>
        <w:tc>
          <w:tcPr>
            <w:tcW w:w="1701" w:type="dxa"/>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502,083</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Krugozor Business Center (Cyprus)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2,789,856</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2,831,412</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 Fortaco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2,850,810</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1,948,182</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Business Center Stanislavsky (Cyprus)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2,266,412</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2,001,196</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1,218,089</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1,080,025</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Levisoma Trading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566,788</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Calyasca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909,987</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1,312,816</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Valnaz Investments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428,657</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79,390</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«Гашека Риэлти»</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64,599</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Fundin Investments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2,876,712</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White Estate Investments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17,505</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Quotex Ltd</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262,030</w:t>
            </w:r>
            <w:r w:rsidRPr="00743CE5">
              <w:rPr>
                <w:rFonts w:ascii="Tahoma" w:eastAsia="Times New Roman" w:hAnsi="Tahoma" w:cs="Tahoma"/>
                <w:color w:val="000000"/>
                <w:sz w:val="18"/>
                <w:szCs w:val="18"/>
                <w:lang w:eastAsia="ru-RU" w:bidi="ru-RU"/>
              </w:rPr>
              <w:tab/>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Предприятие под общим контролем:</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Services Ltd</w:t>
            </w:r>
          </w:p>
        </w:tc>
        <w:tc>
          <w:tcPr>
            <w:tcW w:w="1701" w:type="dxa"/>
            <w:tcBorders>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11,776</w:t>
            </w:r>
            <w:r w:rsidRPr="00743CE5">
              <w:rPr>
                <w:rFonts w:ascii="Tahoma" w:eastAsia="Times New Roman" w:hAnsi="Tahoma" w:cs="Tahoma"/>
                <w:color w:val="000000"/>
                <w:sz w:val="18"/>
                <w:szCs w:val="18"/>
                <w:lang w:eastAsia="ru-RU" w:bidi="ru-RU"/>
              </w:rPr>
              <w:tab/>
            </w:r>
          </w:p>
        </w:tc>
        <w:tc>
          <w:tcPr>
            <w:tcW w:w="1559"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28,852</w:t>
            </w:r>
            <w:r w:rsidRPr="00743CE5">
              <w:rPr>
                <w:rFonts w:ascii="Tahoma" w:eastAsia="Times New Roman" w:hAnsi="Tahoma" w:cs="Tahoma"/>
                <w:color w:val="000000"/>
                <w:sz w:val="18"/>
                <w:szCs w:val="18"/>
                <w:lang w:eastAsia="ru-RU" w:bidi="ru-RU"/>
              </w:rPr>
              <w:tab/>
            </w:r>
          </w:p>
        </w:tc>
      </w:tr>
      <w:tr w:rsidR="00743CE5" w:rsidRPr="00743CE5" w:rsidTr="00743CE5">
        <w:tc>
          <w:tcPr>
            <w:tcW w:w="6204"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14,427,531</w:t>
            </w:r>
            <w:r w:rsidRPr="00743CE5">
              <w:rPr>
                <w:rFonts w:ascii="Tahoma" w:eastAsia="Times New Roman" w:hAnsi="Tahoma" w:cs="Tahoma"/>
                <w:color w:val="000000"/>
                <w:sz w:val="18"/>
                <w:szCs w:val="18"/>
                <w:lang w:eastAsia="ru-RU" w:bidi="ru-RU"/>
              </w:rPr>
              <w:tab/>
            </w:r>
          </w:p>
        </w:tc>
        <w:tc>
          <w:tcPr>
            <w:tcW w:w="1559"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9,783,956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85"/>
          <w:footerReference w:type="default" r:id="rId86"/>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8"/>
          <w:szCs w:val="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28.4 Дебиторская задолженность собственных дочерних предприятий и прочих связанных сторон (Примечание 22) </w:t>
      </w:r>
    </w:p>
    <w:tbl>
      <w:tblPr>
        <w:tblW w:w="0" w:type="auto"/>
        <w:tblLayout w:type="fixed"/>
        <w:tblLook w:val="0000" w:firstRow="0" w:lastRow="0" w:firstColumn="0" w:lastColumn="0" w:noHBand="0" w:noVBand="0"/>
      </w:tblPr>
      <w:tblGrid>
        <w:gridCol w:w="6667"/>
        <w:gridCol w:w="1411"/>
        <w:gridCol w:w="1286"/>
      </w:tblGrid>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Дебиторская задолженность собственного дочернего предприятия</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15,208,517</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5,656,136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Дебиторская задолженность прочих компаний Группы:</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Celera Corporation</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11,668</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854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Krugozor Business Center (Cyprus)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12,106</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1,443,970</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 Fortaco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12,312</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4,025,227</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Business Center Stanislavsky (Cyprus)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16,807</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4,282,376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311,353</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303,236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6,537,017</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3,341,139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Maiga Investments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1,360,700</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Vivaldi Holdings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260,810</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Levisoma Trading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375,377</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«О</w:t>
            </w:r>
            <w:proofErr w:type="gramStart"/>
            <w:r w:rsidRPr="00743CE5">
              <w:rPr>
                <w:rFonts w:ascii="Tahoma" w:eastAsia="Times New Roman" w:hAnsi="Tahoma" w:cs="Tahoma"/>
                <w:color w:val="000000"/>
                <w:sz w:val="18"/>
                <w:szCs w:val="18"/>
                <w:lang w:eastAsia="ru-RU" w:bidi="ru-RU"/>
              </w:rPr>
              <w:t>1</w:t>
            </w:r>
            <w:proofErr w:type="gramEnd"/>
            <w:r w:rsidRPr="00743CE5">
              <w:rPr>
                <w:rFonts w:ascii="Tahoma" w:eastAsia="Times New Roman" w:hAnsi="Tahoma" w:cs="Tahoma"/>
                <w:color w:val="000000"/>
                <w:sz w:val="18"/>
                <w:szCs w:val="18"/>
                <w:lang w:eastAsia="ru-RU" w:bidi="ru-RU"/>
              </w:rPr>
              <w:t xml:space="preserve"> Пропертиз Менеджмент»</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562,783</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«Серебряный город»</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571,237</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ОАО «Большевик»</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370,610</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Gasheka Realty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259,851</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Meteolook Investments Ltd</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65,000</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прочих предприятий Группы</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3,037,420</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554,819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13,765,051</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13,951,621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w:t>
            </w:r>
          </w:p>
        </w:tc>
        <w:tc>
          <w:tcPr>
            <w:tcW w:w="141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28,973,568</w:t>
            </w:r>
            <w:r w:rsidRPr="00743CE5">
              <w:rPr>
                <w:rFonts w:ascii="Tahoma" w:eastAsia="Times New Roman" w:hAnsi="Tahoma" w:cs="Tahoma"/>
                <w:color w:val="000000"/>
                <w:sz w:val="18"/>
                <w:szCs w:val="18"/>
                <w:lang w:eastAsia="ru-RU" w:bidi="ru-RU"/>
              </w:rPr>
              <w:tab/>
            </w:r>
          </w:p>
        </w:tc>
        <w:tc>
          <w:tcPr>
            <w:tcW w:w="128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19,607,757</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дочерних предприятий и прочих связанных сторон является беспроцентной и подлежит погашению по требованию.</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8"/>
          <w:szCs w:val="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28.5 Займы связанным сторонам (Примечание 21) </w:t>
      </w:r>
    </w:p>
    <w:tbl>
      <w:tblPr>
        <w:tblW w:w="0" w:type="auto"/>
        <w:tblInd w:w="56" w:type="dxa"/>
        <w:tblLayout w:type="fixed"/>
        <w:tblCellMar>
          <w:left w:w="0" w:type="dxa"/>
          <w:right w:w="0" w:type="dxa"/>
        </w:tblCellMar>
        <w:tblLook w:val="0000" w:firstRow="0" w:lastRow="0" w:firstColumn="0" w:lastColumn="0" w:noHBand="0" w:noVBand="0"/>
      </w:tblPr>
      <w:tblGrid>
        <w:gridCol w:w="3672"/>
        <w:gridCol w:w="2980"/>
        <w:gridCol w:w="1412"/>
        <w:gridCol w:w="1281"/>
      </w:tblGrid>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уступки с Belegar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5,825,000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245,043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Dawson Int'l Inc.</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15,003,000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15,003,000</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4,128,494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2,778,224</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новации с ЗАО «Стройпромпласт»</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7,309,275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9,400,427</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Sandix Group B.V.</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80,000</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5,824</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Xeroma Management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3,317,885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13,105,000</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2,001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638,054</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Paremos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106,510,000</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7,783,018</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Thaletta s.a.</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50,791</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ООО Фирма «Морава»</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12,297,014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185,305</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975,631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17,698</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Eagleman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11,461,000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51,120,500</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140,241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956,256</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Ratado Holding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102,500,001</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1,480,097</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Discovery Russian Realty Paveletskaya Project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23,525,000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679,989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Pianconero Investments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79,159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Avion Corporate Business Center (Cyprus) Ltd</w:t>
            </w: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77,585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367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980"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85,066,317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311,614,195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28.5 Займы связанным сторонам (продолжение)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Belegar Ltd был предоставлен по ставке 7% и подлежит погашению 30 июня 2021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Задолженность по договору новации с Dawson International Inc. была передана Thaletta S.A. по договору уступки 31 декабря 2010 года. В первоначальном </w:t>
      </w:r>
      <w:proofErr w:type="gramStart"/>
      <w:r w:rsidRPr="00743CE5">
        <w:rPr>
          <w:rFonts w:ascii="Tahoma" w:eastAsia="Times New Roman" w:hAnsi="Tahoma" w:cs="Tahoma"/>
          <w:color w:val="000000"/>
          <w:sz w:val="18"/>
          <w:szCs w:val="18"/>
          <w:lang w:eastAsia="ru-RU" w:bidi="ru-RU"/>
        </w:rPr>
        <w:t>договоре</w:t>
      </w:r>
      <w:proofErr w:type="gramEnd"/>
      <w:r w:rsidRPr="00743CE5">
        <w:rPr>
          <w:rFonts w:ascii="Tahoma" w:eastAsia="Times New Roman" w:hAnsi="Tahoma" w:cs="Tahoma"/>
          <w:color w:val="000000"/>
          <w:sz w:val="18"/>
          <w:szCs w:val="18"/>
          <w:lang w:eastAsia="ru-RU" w:bidi="ru-RU"/>
        </w:rPr>
        <w:t xml:space="preserve"> займа от 10 декабря 2010 года была предусмотрена процентная ставка 9%.</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Задолженность по договору новации с ЗАО «Стройпромпласт» была передана Thaletta S.A. по договору уступки 31 декабря 2010 года и включает основную сумму 1 157 005 699 рублей и начисленные проценты в сумме 253 418 583 рубля. Переданные по договору уступки займы подлежат погашению 31 декабря 2015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Sandix Group B.V. был предоставлен по ставке 6% и подлежит погашению 11 июля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Xeroma Management Ltd был предоставлен по ставке 5% и подлежит погашению 31 декабря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Paremos Ltd был предоставлен по ставке 13% и подлежит погашению 30 июня 2015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Thaletta s.a. был предоставлен по ставке 6% и подлежит погашению 29 июня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ООО Фирма «Морава» был предоставлен по ставке 13,10% и подлежит погашению 20 мая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Eagleman Ltd был предоставлен по ставке 5,65% и подлежит погашению 16 марта 2015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Ratado Holdings Ltd был предоставлен по ставке от 7,1% до 7,5% и подлежит погашению 31 июля 2014 года и 1 июля 2017 года соответственно.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Discovery Russian Realty Paveletskaya Project Ltd был предоставлен по ставке 7% и подлежит погашению 30 июня 2021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Pianconero Investments Ltd был предоставлен по ставке 1мес. ЛИБОР + 3,5% и подлежит погашению по требованию.</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Gunilla Ltd был предоставлен по ставке 10% и подлежит погашению 31 декабря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28.6 Кредиторская задолженность перед дочерними предприятиями и прочими связанными сторонами (Примечание 26)</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Название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Ratado Holding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15,803,201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15,803,176</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11,967,381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11,967,381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Silver City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8,483,019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8,433,019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Xeroma Management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740,539</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Sabaton Holdings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2,719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White Estate Investments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1,326,036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Kolston Group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50,000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Invery Management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45,000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Discovery Russian Realty Paveletskaya Project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5,982,661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2,476,193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26,501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Meteolook Investments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65,928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прочими связанными сторонами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47,014</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38,224</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46,277,003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36,982,339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дочерними предприятиями и прочими связанными сторонами является беспроцентной и подлежит погашению по требованию.</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87"/>
          <w:footerReference w:type="default" r:id="rId88"/>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28.7. Займы, полученные от связанных сторон (Примечание 25) </w:t>
      </w:r>
    </w:p>
    <w:tbl>
      <w:tblPr>
        <w:tblW w:w="0" w:type="auto"/>
        <w:tblInd w:w="56" w:type="dxa"/>
        <w:tblLayout w:type="fixed"/>
        <w:tblCellMar>
          <w:left w:w="0" w:type="dxa"/>
          <w:right w:w="0" w:type="dxa"/>
        </w:tblCellMar>
        <w:tblLook w:val="0000" w:firstRow="0" w:lastRow="0" w:firstColumn="0" w:lastColumn="0" w:noHBand="0" w:noVBand="0"/>
      </w:tblPr>
      <w:tblGrid>
        <w:gridCol w:w="3686"/>
        <w:gridCol w:w="2981"/>
        <w:gridCol w:w="1411"/>
        <w:gridCol w:w="1282"/>
      </w:tblGrid>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Hines DPIII Development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1,200,000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97,348</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Hines DPIII Realty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830,000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66,962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Sharezone Capital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24,333,000</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1,556,676</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O1 Trust Services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3,820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Krugozor Business Center (Cyprus)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30,361,357</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1,314,407</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Le Fortaco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27,692,972</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1,540,938</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Business Center Stanislavsky (Cyprus)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28,424,246</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1,094,240</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Avion Corporate Business Center (Cyprus)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14,831,963</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529,350</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Levisoma Trading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11,238,003</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460,141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Valnaz Investments Limited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12,995,000</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79,390</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ООО «Гашека Риэлти»</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2,857,452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44,719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Fundin Investments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120,000,000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2,876,712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White Estate Investments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18,255,000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17,505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Quotex Ltd</w:t>
            </w: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41,403,000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262,030</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3686"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98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199,612,692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144,753,539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от Hines DPIII Development Ltd и Hines DPIII Realty Ltd были предоставлены по ставке 9% и подлежали погашению 31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Sharezone Capital Ltd был предоставлен по ставке 5% и подлежит погашению 30 июня 2017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O1 Trust Services Ltd был предоставлен по ставке 12% и подлежал погашению 15 января 2012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от Krugozor Business Center (Cyprus) Ltd, Le Fortaco Ltd, Business Center Stanislavsky (Cyprus) Ltd и Avion Corporate Business Center (Cyprus) Ltd были предоставлены по ставке 10% и подлежали погашению 16 декабря 2016 года. Данные займы были погашены досрочно в 2013 году.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Levisoma Trading Ltd был предоставлен по ставке 7% и подлежит погашению 31 декабря 2019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Valnaz Investments Ltd был предоставлен по ставке 8,6% и подлежит погашению 1 ноября 2017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ООО «Гашека Риэлти» был предоставлен по ставке 7,5% и подлежит погашению 31 декабря 2016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default" r:id="rId89"/>
          <w:footerReference w:type="default" r:id="rId90"/>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28.7 Займы, полученные от связанных сторон (продолжение)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Fundin Investments Ltd был предоставлен по ставке 7% и подлежит погашению 31 декабря 2015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White Estate Investments Ltd был предоставлен по ставке 7% и подлежит погашению 31 декабря 2016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Quotex Ltd был предоставлен по ставке 7% и подлежит погашению 31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28.8 Суммы задолженности акционеров (Примечания 22 и 24)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Векселя (Примечание 24)</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225,000,000</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счета акционеров – дебетовые остатки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3,565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1,323</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225,003,565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1,323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28.9 Текущие счета акционеров </w:t>
      </w:r>
      <w:r w:rsidRPr="00743CE5">
        <w:rPr>
          <w:rFonts w:ascii="Tahoma" w:eastAsia="Times New Roman" w:hAnsi="Tahoma" w:cs="Tahoma"/>
          <w:b/>
          <w:bCs/>
          <w:color w:val="000000"/>
          <w:sz w:val="18"/>
          <w:szCs w:val="18"/>
          <w:lang w:eastAsia="ru-RU" w:bidi="ru-RU"/>
        </w:rPr>
        <w:noBreakHyphen/>
        <w:t xml:space="preserve"> кредитовые остатки (Примечание 26)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2"/>
      </w:tblGrid>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2012 г.</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Суммы задолженности перед акционерами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2,331,141</w:t>
            </w:r>
            <w:r w:rsidRPr="00743CE5">
              <w:rPr>
                <w:rFonts w:ascii="Tahoma" w:eastAsia="Times New Roman" w:hAnsi="Tahoma" w:cs="Tahoma"/>
                <w:color w:val="000000"/>
                <w:sz w:val="18"/>
                <w:szCs w:val="18"/>
                <w:lang w:eastAsia="ru-RU" w:bidi="ru-RU"/>
              </w:rPr>
              <w:tab/>
            </w:r>
          </w:p>
        </w:tc>
      </w:tr>
      <w:tr w:rsidR="00743CE5" w:rsidRPr="00743CE5" w:rsidTr="00743CE5">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2,331,141</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28.10</w:t>
      </w:r>
      <w:proofErr w:type="gramStart"/>
      <w:r w:rsidRPr="00743CE5">
        <w:rPr>
          <w:rFonts w:ascii="Tahoma" w:eastAsia="Times New Roman" w:hAnsi="Tahoma" w:cs="Tahoma"/>
          <w:b/>
          <w:color w:val="000000"/>
          <w:sz w:val="18"/>
          <w:szCs w:val="18"/>
          <w:lang w:eastAsia="ru-RU" w:bidi="ru-RU"/>
        </w:rPr>
        <w:t xml:space="preserve"> П</w:t>
      </w:r>
      <w:proofErr w:type="gramEnd"/>
      <w:r w:rsidRPr="00743CE5">
        <w:rPr>
          <w:rFonts w:ascii="Tahoma" w:eastAsia="Times New Roman" w:hAnsi="Tahoma" w:cs="Tahoma"/>
          <w:b/>
          <w:color w:val="000000"/>
          <w:sz w:val="18"/>
          <w:szCs w:val="18"/>
          <w:lang w:eastAsia="ru-RU" w:bidi="ru-RU"/>
        </w:rPr>
        <w:t xml:space="preserve">рочие доходы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56" w:type="dxa"/>
        <w:tblLayout w:type="fixed"/>
        <w:tblLook w:val="0000" w:firstRow="0" w:lastRow="0" w:firstColumn="0" w:lastColumn="0" w:noHBand="0" w:noVBand="0"/>
      </w:tblPr>
      <w:tblGrid>
        <w:gridCol w:w="5529"/>
        <w:gridCol w:w="1134"/>
        <w:gridCol w:w="1417"/>
        <w:gridCol w:w="1276"/>
      </w:tblGrid>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2013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2012 г. </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перевыставления расходов дочерним предприятиям</w:t>
            </w:r>
          </w:p>
        </w:tc>
        <w:tc>
          <w:tcPr>
            <w:tcW w:w="113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3,461,480</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52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28.11</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Приобретение и выбытие инвестиций в рамках операций со связанными сторонами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приобретении и выбытии инвестиций в рамках операций со связанными сторонами представлена в Примечаниях 17 и 7.</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29. Экономическая среда, в которой Компания осуществляет свою деятельность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процессе</w:t>
      </w:r>
      <w:proofErr w:type="gramEnd"/>
      <w:r w:rsidRPr="00743CE5">
        <w:rPr>
          <w:rFonts w:ascii="Tahoma" w:eastAsia="Times New Roman" w:hAnsi="Tahoma" w:cs="Tahoma"/>
          <w:color w:val="000000"/>
          <w:sz w:val="18"/>
          <w:szCs w:val="18"/>
          <w:lang w:eastAsia="ru-RU" w:bidi="ru-RU"/>
        </w:rPr>
        <w:t xml:space="preserve"> своей деятельности Компания в значительной мере подвергается рискам, связанным с экономическими условиями в Российской Федерации, а также юридическими и налоговыми условиями на Кипре. Руководство Компании постоянно следит за развитием ситуации, связанной с экономической средой Компании, чтобы в полной мере оценить, как эти изменения могут повлиять на деятельность Компании. </w:t>
      </w:r>
    </w:p>
    <w:p w:rsidR="00743CE5" w:rsidRPr="00743CE5" w:rsidRDefault="00743CE5" w:rsidP="00743CE5">
      <w:pPr>
        <w:widowControl w:val="0"/>
        <w:autoSpaceDE w:val="0"/>
        <w:autoSpaceDN w:val="0"/>
        <w:adjustRightInd w:val="0"/>
        <w:spacing w:after="240" w:line="240" w:lineRule="auto"/>
        <w:jc w:val="both"/>
        <w:rPr>
          <w:rFonts w:ascii="Tahoma" w:eastAsia="Times New Roman" w:hAnsi="Tahoma" w:cs="Tahoma"/>
          <w:color w:val="000000"/>
          <w:sz w:val="18"/>
          <w:szCs w:val="18"/>
          <w:lang w:eastAsia="ru-RU" w:bidi="ru-RU"/>
        </w:rPr>
      </w:pPr>
      <w:bookmarkStart w:id="1" w:name="_Toc225657629"/>
      <w:bookmarkStart w:id="2" w:name="_Toc225657703"/>
      <w:bookmarkStart w:id="3" w:name="_Toc225657889"/>
      <w:bookmarkStart w:id="4" w:name="_Toc225657958"/>
      <w:bookmarkStart w:id="5" w:name="_Toc225658257"/>
      <w:bookmarkStart w:id="6" w:name="_Toc225669389"/>
      <w:bookmarkStart w:id="7" w:name="_Toc225669461"/>
      <w:bookmarkStart w:id="8" w:name="_Toc225669534"/>
      <w:bookmarkStart w:id="9" w:name="_Toc225669648"/>
      <w:bookmarkStart w:id="10" w:name="_Toc225670184"/>
      <w:bookmarkStart w:id="11" w:name="_Toc225682696"/>
      <w:bookmarkStart w:id="12" w:name="_Toc226473160"/>
      <w:bookmarkStart w:id="13" w:name="_Toc226723001"/>
      <w:bookmarkStart w:id="14" w:name="_Toc226783307"/>
      <w:bookmarkStart w:id="15" w:name="_Toc226812562"/>
      <w:bookmarkStart w:id="16" w:name="_Toc226816653"/>
      <w:bookmarkStart w:id="17" w:name="_Toc226820750"/>
      <w:bookmarkStart w:id="18" w:name="_Toc227992936"/>
      <w:bookmarkStart w:id="19" w:name="_Toc227996241"/>
      <w:bookmarkStart w:id="20" w:name="_Toc227996439"/>
      <w:bookmarkStart w:id="21" w:name="_Toc227996476"/>
      <w:bookmarkStart w:id="22" w:name="_Toc227996510"/>
      <w:bookmarkStart w:id="23" w:name="_Toc227996545"/>
      <w:bookmarkStart w:id="24" w:name="_Toc227996573"/>
      <w:bookmarkStart w:id="25" w:name="_Toc227996598"/>
      <w:bookmarkStart w:id="26" w:name="_Toc227996621"/>
      <w:bookmarkStart w:id="27" w:name="_Toc225657630"/>
      <w:bookmarkStart w:id="28" w:name="_Toc225657704"/>
      <w:bookmarkStart w:id="29" w:name="_Toc225657890"/>
      <w:bookmarkStart w:id="30" w:name="_Toc225657959"/>
      <w:bookmarkStart w:id="31" w:name="_Toc225658258"/>
      <w:bookmarkStart w:id="32" w:name="_Toc225669390"/>
      <w:bookmarkStart w:id="33" w:name="_Toc225669462"/>
      <w:bookmarkStart w:id="34" w:name="_Toc225669535"/>
      <w:bookmarkStart w:id="35" w:name="_Toc225669649"/>
      <w:bookmarkStart w:id="36" w:name="_Toc225670185"/>
      <w:bookmarkStart w:id="37" w:name="_Toc225682697"/>
      <w:bookmarkStart w:id="38" w:name="_Toc226473161"/>
      <w:bookmarkStart w:id="39" w:name="_Toc226723002"/>
      <w:bookmarkStart w:id="40" w:name="_Toc226783308"/>
      <w:bookmarkStart w:id="41" w:name="_Toc226812563"/>
      <w:bookmarkStart w:id="42" w:name="_Toc226816654"/>
      <w:bookmarkStart w:id="43" w:name="_Toc226820751"/>
      <w:bookmarkStart w:id="44" w:name="_Toc227992937"/>
      <w:bookmarkStart w:id="45" w:name="_Toc227996242"/>
      <w:bookmarkStart w:id="46" w:name="_Toc227996440"/>
      <w:bookmarkStart w:id="47" w:name="_Toc227996477"/>
      <w:bookmarkStart w:id="48" w:name="_Toc227996511"/>
      <w:bookmarkStart w:id="49" w:name="_Toc227996546"/>
      <w:bookmarkStart w:id="50" w:name="_Toc227996574"/>
      <w:bookmarkStart w:id="51" w:name="_Toc227996599"/>
      <w:bookmarkStart w:id="52" w:name="_Toc2279966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43CE5">
        <w:rPr>
          <w:rFonts w:ascii="Tahoma" w:eastAsia="Times New Roman" w:hAnsi="Tahoma" w:cs="Tahoma"/>
          <w:b/>
          <w:i/>
          <w:color w:val="000000"/>
          <w:sz w:val="18"/>
          <w:szCs w:val="18"/>
          <w:lang w:eastAsia="ru-RU" w:bidi="ru-RU"/>
        </w:rPr>
        <w:t>Российская Федерация.</w:t>
      </w:r>
      <w:r w:rsidRPr="00743CE5">
        <w:rPr>
          <w:rFonts w:ascii="Tahoma" w:eastAsia="Times New Roman" w:hAnsi="Tahoma" w:cs="Tahoma"/>
          <w:color w:val="000000"/>
          <w:sz w:val="18"/>
          <w:szCs w:val="18"/>
          <w:lang w:eastAsia="ru-RU" w:bidi="ru-RU"/>
        </w:rPr>
        <w:t xml:space="preserve"> Экономика Российской Федерации проявляет некоторые характерные особенности, присущие развивающимся рынкам. Экономика страны особенно чувствительна к ценам на нефть и газ. Нормативно-правовая база и налоговое законодательство Российской Федерации продолжают развиваться и допускают возможность разных толкований (Примечание 30). Политические и экономические беспорядки, наблюдавшиеся в последнее время в регионе, в частности, события на Украине, оказали и могут продолжать оказывать негативное влияние на российскую экономику, включая ослабление рубля, рост процентных ставок, снижение ликвидности и возникновение трудностей в привлечении международного финансирования. Эти события, включая введенные и потенциальные будущие международные санкции в отношении некоторых российских компаний и граждан, а также связанная с ними неопределенность и волатильность финансовых рынков могут оказать значительное влияние на деятельность и финансовое положение Компании, последствия которого сложно прогнозировать. Будущая экономическая ситуация и нормативно-правовая среда могут отличаться от ожиданий руководства.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br w:type="page"/>
        <w:t>29. Экономическая среда, в которой Компания осуществляет свою деятельность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Сохраняющаяся неопределенность и волатильность на финансовых рынках и прочие риски могут оказать негативное влияние на российский финансовый и корпоративный сектор. Руководство определяло справедливую стоимость и осуществляло другие оценки с учетом экономической ситуации и перспектив на конец отчетного периода.</w:t>
      </w:r>
    </w:p>
    <w:p w:rsidR="00743CE5" w:rsidRPr="00743CE5" w:rsidRDefault="00743CE5" w:rsidP="00743CE5">
      <w:pPr>
        <w:keepLines/>
        <w:widowControl w:val="0"/>
        <w:tabs>
          <w:tab w:val="right" w:pos="8789"/>
        </w:tabs>
        <w:autoSpaceDE w:val="0"/>
        <w:autoSpaceDN w:val="0"/>
        <w:adjustRightInd w:val="0"/>
        <w:spacing w:after="48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Кипр.</w:t>
      </w:r>
      <w:r w:rsidRPr="00743CE5">
        <w:rPr>
          <w:rFonts w:ascii="Tahoma" w:eastAsia="Times New Roman" w:hAnsi="Tahoma" w:cs="Tahoma"/>
          <w:color w:val="000000"/>
          <w:sz w:val="18"/>
          <w:szCs w:val="18"/>
          <w:lang w:eastAsia="ru-RU" w:bidi="ru-RU"/>
        </w:rPr>
        <w:t xml:space="preserve"> На экономику Кипра негативно повлияли кризис кипрской банковской системы и невозможность получения Республикой Кипр заемных средств на международных рынках. В связи с этими событиями были проведены переговоры между Республикой Кипр и Европейской комиссией, Европейским центральным банком и Международным валютным фондом («тройкой» кредиторов) по вопросам оказания финансовой поддержки, по результатам которых было принято решение Еврогруппы от 25 марта 2013 года. Решение включало реструктуризацию двух крупнейших банков Кипра за счет осуществления программы экстренной помощи путем вовлечения в нее держателей облигаций. Кроме того, в 2013 году в экономике Кипра продолжился спад, приведший к снижению валового национального продукта, и в 2014 году ожидается его дальнейшее снижение. Сложившаяся на сегодняшний день экономическая, налоговая и юридическая ситуация на Кипре, а также перспективы ее развития могут негативно повлиять на ряд операций Группы.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30. Условные и договорные обязательства и операционные риски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 xml:space="preserve">Условные налоговые обязательства. </w:t>
      </w:r>
      <w:r w:rsidRPr="00743CE5">
        <w:rPr>
          <w:rFonts w:ascii="Tahoma" w:eastAsia="Times New Roman" w:hAnsi="Tahoma" w:cs="Tahoma"/>
          <w:color w:val="000000"/>
          <w:sz w:val="18"/>
          <w:szCs w:val="18"/>
          <w:lang w:eastAsia="ru-RU" w:bidi="ru-RU"/>
        </w:rPr>
        <w:t xml:space="preserve"> Налоговое и таможенное законодательство Российской Федерации, действующее или по существу вступившее в силу на конец отчетного периода, допускает возможность разных толкований в применении к операциям и деятельности Группы.  В связи с этим налоговые позиции, определенные руководством, и официальная документация, обосновывающая налоговые позиции, могут быть оспорены налоговыми органами. Российское налоговое администрирование постепенно ужесточается, в том числе повышается риск проверок операций, не имеющих четкой финансово-хозяйственной цели или выполненных при участии контрагентов, не соблюдающих требования налогового законодательства.  Налоговые периоды остаются открытыми для проверки соответствующими налоговыми органами на предмет уплаты налогов в течение трех календарных лет, предшествующих году, в котором было принято решение о поведении проверки. В отдельных </w:t>
      </w:r>
      <w:proofErr w:type="gramStart"/>
      <w:r w:rsidRPr="00743CE5">
        <w:rPr>
          <w:rFonts w:ascii="Tahoma" w:eastAsia="Times New Roman" w:hAnsi="Tahoma" w:cs="Tahoma"/>
          <w:color w:val="000000"/>
          <w:sz w:val="18"/>
          <w:szCs w:val="18"/>
          <w:lang w:eastAsia="ru-RU" w:bidi="ru-RU"/>
        </w:rPr>
        <w:t>случаях</w:t>
      </w:r>
      <w:proofErr w:type="gramEnd"/>
      <w:r w:rsidRPr="00743CE5">
        <w:rPr>
          <w:rFonts w:ascii="Tahoma" w:eastAsia="Times New Roman" w:hAnsi="Tahoma" w:cs="Tahoma"/>
          <w:color w:val="000000"/>
          <w:sz w:val="18"/>
          <w:szCs w:val="18"/>
          <w:lang w:eastAsia="ru-RU" w:bidi="ru-RU"/>
        </w:rPr>
        <w:t xml:space="preserve"> проверки могут охватывать более длительные периоды.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Так как российское налоговое законодательство не содержит четкого руководства по некоторым вопросам, Компания время от времени применяет такие интерпретации законодательства, которые приводят к снижению общей суммы налогов по Компании. Руководство в настоящее время считает, что существует вероятность того, что налоговые позиции и интерпретации Банка могут быть подтверждены, однако существует риск того, что потребуется отток ресурсов, в том случае если эти налоговые позиции и интерпретации законодательства будут оспорены соответствующими органами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Влияние такого развития событий не может быть оценено с достаточной степенью надежности, однако может быть значительным с точки зрения финансового положения и/или хозяйственной деятельности Компании в целом. В </w:t>
      </w:r>
      <w:proofErr w:type="gramStart"/>
      <w:r w:rsidRPr="00743CE5">
        <w:rPr>
          <w:rFonts w:ascii="Tahoma" w:eastAsia="Times New Roman" w:hAnsi="Tahoma" w:cs="Tahoma"/>
          <w:color w:val="000000"/>
          <w:sz w:val="18"/>
          <w:szCs w:val="18"/>
          <w:lang w:eastAsia="ru-RU" w:bidi="ru-RU"/>
        </w:rPr>
        <w:t>случае</w:t>
      </w:r>
      <w:proofErr w:type="gramEnd"/>
      <w:r w:rsidRPr="00743CE5">
        <w:rPr>
          <w:rFonts w:ascii="Tahoma" w:eastAsia="Times New Roman" w:hAnsi="Tahoma" w:cs="Tahoma"/>
          <w:color w:val="000000"/>
          <w:sz w:val="18"/>
          <w:szCs w:val="18"/>
          <w:lang w:eastAsia="ru-RU" w:bidi="ru-RU"/>
        </w:rPr>
        <w:t xml:space="preserve"> внесения в будущем изменений в российское налоговое законодательство в отношении налогообложения сектора недвижимости в Российской Федерации, они могут повлиять на оценку финансовых активов Компании, оцениваемых по справедливой стоимости, изменения которой отражаются в составе прибыли или убытка.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Вопросы охраны окружающей среды.</w:t>
      </w:r>
      <w:r w:rsidRPr="00743CE5">
        <w:rPr>
          <w:rFonts w:ascii="Tahoma" w:eastAsia="Times New Roman" w:hAnsi="Tahoma" w:cs="Tahoma"/>
          <w:color w:val="000000"/>
          <w:sz w:val="18"/>
          <w:szCs w:val="18"/>
          <w:lang w:eastAsia="ru-RU" w:bidi="ru-RU"/>
        </w:rPr>
        <w:t xml:space="preserve"> В настоящее время в России ужесточается природоохранное законодательство и продолжается пересмотр позиции государственных органов Российской Федерации относительно обеспечения его соблюдения. Компания проводит периодическую оценку своих обязательств, связанных с охраной окружающей среды. По мере выявления обязательств они незамедлительно отражаются в отчетности. Потенциальные обязательства, которые могут возникнуть в результате изменения существующего законодательства и нормативных актов, а также в результате судебной практики, не могут быть оценены с достаточной степенью надежности, хотя и могут оказаться значительными. Руководство Компании считает, что в условиях существующей системы </w:t>
      </w:r>
      <w:proofErr w:type="gramStart"/>
      <w:r w:rsidRPr="00743CE5">
        <w:rPr>
          <w:rFonts w:ascii="Tahoma" w:eastAsia="Times New Roman" w:hAnsi="Tahoma" w:cs="Tahoma"/>
          <w:color w:val="000000"/>
          <w:sz w:val="18"/>
          <w:szCs w:val="18"/>
          <w:lang w:eastAsia="ru-RU" w:bidi="ru-RU"/>
        </w:rPr>
        <w:t>контроля за</w:t>
      </w:r>
      <w:proofErr w:type="gramEnd"/>
      <w:r w:rsidRPr="00743CE5">
        <w:rPr>
          <w:rFonts w:ascii="Tahoma" w:eastAsia="Times New Roman" w:hAnsi="Tahoma" w:cs="Tahoma"/>
          <w:color w:val="000000"/>
          <w:sz w:val="18"/>
          <w:szCs w:val="18"/>
          <w:lang w:eastAsia="ru-RU" w:bidi="ru-RU"/>
        </w:rPr>
        <w:t xml:space="preserve"> соблюдением действующего природоохранного законодательства не имеется значительных обязательств, возникающих в связи с нанесением ущерба окружающей среде.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 xml:space="preserve">Заложенные активы и активы с ограничением по использованию. </w:t>
      </w:r>
      <w:r w:rsidRPr="00743CE5">
        <w:rPr>
          <w:rFonts w:ascii="Tahoma" w:eastAsia="Times New Roman" w:hAnsi="Tahoma" w:cs="Tahoma"/>
          <w:color w:val="000000"/>
          <w:sz w:val="18"/>
          <w:szCs w:val="18"/>
          <w:lang w:eastAsia="ru-RU" w:bidi="ru-RU"/>
        </w:rPr>
        <w:t>По состоянию на 31 декабря 2013 года и 31 декабря 2012 года все акции Компании были переданы в залог в связи с обязательствами непосредственного акционера. Информация о залоге акций дочерних компаний Компании в качестве обеспечения раскрыта в Примечании 17.</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30. Условные и договорные обязательства и операционные риски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 xml:space="preserve">Судебные разбирательства. </w:t>
      </w:r>
      <w:r w:rsidRPr="00743CE5">
        <w:rPr>
          <w:rFonts w:ascii="Tahoma" w:eastAsia="Times New Roman" w:hAnsi="Tahoma" w:cs="Tahoma"/>
          <w:color w:val="000000"/>
          <w:sz w:val="18"/>
          <w:szCs w:val="18"/>
          <w:lang w:eastAsia="ru-RU" w:bidi="ru-RU"/>
        </w:rPr>
        <w:t xml:space="preserve">К Компании периодически, в ходе обычной деятельности, могут поступать исковые требования. Исходя из собственной оценки, а также консультаций внутренних профессиональных консультантов, руководство считает, что они не приведут к каким-либо существенным убыткам и, соответственно, резерв по данным разбирательствам в настоящей финансовой отчетности не был создан.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План выплат, основанных на акциях.</w:t>
      </w:r>
      <w:r w:rsidRPr="00743CE5">
        <w:rPr>
          <w:rFonts w:ascii="Tahoma" w:eastAsia="Times New Roman" w:hAnsi="Tahoma" w:cs="Tahoma"/>
          <w:color w:val="000000"/>
          <w:sz w:val="18"/>
          <w:szCs w:val="18"/>
          <w:lang w:eastAsia="ru-RU" w:bidi="ru-RU"/>
        </w:rPr>
        <w:t xml:space="preserve"> В 2011 году ряд директоров Компании получил право участия в плане выплат, основанных на акциях. В </w:t>
      </w:r>
      <w:proofErr w:type="gramStart"/>
      <w:r w:rsidRPr="00743CE5">
        <w:rPr>
          <w:rFonts w:ascii="Tahoma" w:eastAsia="Times New Roman" w:hAnsi="Tahoma" w:cs="Tahoma"/>
          <w:color w:val="000000"/>
          <w:sz w:val="18"/>
          <w:szCs w:val="18"/>
          <w:lang w:eastAsia="ru-RU" w:bidi="ru-RU"/>
        </w:rPr>
        <w:t>соответствии</w:t>
      </w:r>
      <w:proofErr w:type="gramEnd"/>
      <w:r w:rsidRPr="00743CE5">
        <w:rPr>
          <w:rFonts w:ascii="Tahoma" w:eastAsia="Times New Roman" w:hAnsi="Tahoma" w:cs="Tahoma"/>
          <w:color w:val="000000"/>
          <w:sz w:val="18"/>
          <w:szCs w:val="18"/>
          <w:lang w:eastAsia="ru-RU" w:bidi="ru-RU"/>
        </w:rPr>
        <w:t xml:space="preserve"> с этим планом на дату первичного публичного размещения и продажи акций Компании на фондовых биржах («IPO») этим директорам предоставляется некоторое число опционов, эквивалентных фиксированной сумме, основанной на цене акций Компании на дату IPO («Первоначальный опцион»). Если Компания готова к выходу на IPO, но Совет директоров Компании решает отложить IPO исключительно по причине неблагоприятных внешних условий, то директора получат количество опционов, эквивалентное фиксированной сумме, основанной на чистых активах Компании («Опцион до выхода на IPO»).</w:t>
      </w:r>
      <w:r w:rsidRPr="00743CE5">
        <w:rPr>
          <w:rFonts w:ascii="Tahoma" w:eastAsia="Times New Roman" w:hAnsi="Tahoma" w:cs="Tahoma"/>
          <w:color w:val="000000"/>
          <w:sz w:val="18"/>
          <w:szCs w:val="18"/>
          <w:lang w:eastAsia="ru-RU" w:bidi="ru-RU"/>
        </w:rPr>
        <w:noBreakHyphen/>
        <w:t xml:space="preserve"> Если предоставляется Опцион до выхода на IPO, то Первоначальный опцион не предоставляется.</w:t>
      </w:r>
      <w:r w:rsidRPr="00743CE5">
        <w:rPr>
          <w:rFonts w:ascii="Tahoma" w:eastAsia="Times New Roman" w:hAnsi="Tahoma" w:cs="Tahoma"/>
          <w:color w:val="000000"/>
          <w:sz w:val="18"/>
          <w:szCs w:val="18"/>
          <w:lang w:eastAsia="ru-RU" w:bidi="ru-RU"/>
        </w:rPr>
        <w:noBreakHyphen/>
        <w:t xml:space="preserve"> На последний день каждого календарного года после выхода на IPO и при условии достижения в соответствующем периоде всех целевых показателей по результатам деятельности, директорам предоставляются опционы в количестве, эквивалентном фиксированной сумме, основанной на рыночной цене акций на дату предоставления права участия в плане. На любую дату стоимость одного опциона равна стоимости одной акции.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Вступление в права на полученные опционы происходит равными частями четыре календарных года подряд после даты предоставления права и в его годовщину. Директор может реализовать право исполнения опциона, по которому он уже вступил в права, и потребовать, чтобы Компания выплатила ему эквивалентную сумму, равную разнице между рыночной стоимостью исполненных опционов на дату исполнения опциона и (2) рыночной стоимостью исполненных опционов на дату предоставления. Если на дату исполнения рыночная стоимость акций неизвестна, то стоимость опциона рассчитывается на основе чистых активов Компании в соответствии с последней имеющейся годовой финансовой отчетностью Компании.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Если директор увольняется с этой должности, (1) этому директору опционы более не предоставляются и (2) этот директор будет иметь право на исполнение опционов, которые были </w:t>
      </w:r>
      <w:proofErr w:type="gramStart"/>
      <w:r w:rsidRPr="00743CE5">
        <w:rPr>
          <w:rFonts w:ascii="Tahoma" w:eastAsia="Times New Roman" w:hAnsi="Tahoma" w:cs="Tahoma"/>
          <w:color w:val="000000"/>
          <w:sz w:val="18"/>
          <w:szCs w:val="18"/>
          <w:lang w:eastAsia="ru-RU" w:bidi="ru-RU"/>
        </w:rPr>
        <w:t>ему</w:t>
      </w:r>
      <w:proofErr w:type="gramEnd"/>
      <w:r w:rsidRPr="00743CE5">
        <w:rPr>
          <w:rFonts w:ascii="Tahoma" w:eastAsia="Times New Roman" w:hAnsi="Tahoma" w:cs="Tahoma"/>
          <w:color w:val="000000"/>
          <w:sz w:val="18"/>
          <w:szCs w:val="18"/>
          <w:lang w:eastAsia="ru-RU" w:bidi="ru-RU"/>
        </w:rPr>
        <w:t xml:space="preserve"> предоставлены и в права на которые он вступил до даты исполнения, только до 31 декабря года следующего за годом увольнения. Если увольнение директора является результатом его ненадлежащего поведения, опционы, которые были </w:t>
      </w:r>
      <w:proofErr w:type="gramStart"/>
      <w:r w:rsidRPr="00743CE5">
        <w:rPr>
          <w:rFonts w:ascii="Tahoma" w:eastAsia="Times New Roman" w:hAnsi="Tahoma" w:cs="Tahoma"/>
          <w:color w:val="000000"/>
          <w:sz w:val="18"/>
          <w:szCs w:val="18"/>
          <w:lang w:eastAsia="ru-RU" w:bidi="ru-RU"/>
        </w:rPr>
        <w:t>ему</w:t>
      </w:r>
      <w:proofErr w:type="gramEnd"/>
      <w:r w:rsidRPr="00743CE5">
        <w:rPr>
          <w:rFonts w:ascii="Tahoma" w:eastAsia="Times New Roman" w:hAnsi="Tahoma" w:cs="Tahoma"/>
          <w:color w:val="000000"/>
          <w:sz w:val="18"/>
          <w:szCs w:val="18"/>
          <w:lang w:eastAsia="ru-RU" w:bidi="ru-RU"/>
        </w:rPr>
        <w:t xml:space="preserve"> предоставлены, но в права на которые он не вступил, незамедлительно аннулируются без выплаты какой-либо компенсации.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31 декабря 2013 года обязательства, относящиеся к вышеуказанному плану выплат, основанному на акциях, составляли приблизительно ноль долларов США (2012 г.: 22 тысячи долларов США) и были отражены в составе общих и административных расходов через прибыль или убыток (Примечание 8). В течение 2013 года директора Компании оформили подписку на акции рыночной стоимостью 5 329 тысяч долларов США за номинальное возмещение, что привело к отражению расходов по оплате труда в размере 5 329 тысяч долларов США в отчете о прочем совокупном доходе. Информация о планах выплат, основанных на акциях, представлена в Примечании 24.</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31. Существенные события после окончания отчетного периода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proofErr w:type="gramEnd"/>
      <w:r w:rsidRPr="00743CE5">
        <w:rPr>
          <w:rFonts w:ascii="Tahoma" w:eastAsia="Times New Roman" w:hAnsi="Tahoma" w:cs="Tahoma"/>
          <w:color w:val="000000"/>
          <w:sz w:val="18"/>
          <w:szCs w:val="18"/>
          <w:lang w:eastAsia="ru-RU" w:bidi="ru-RU"/>
        </w:rPr>
        <w:t xml:space="preserve"> 2014 года акционеры Компании утвердили дивиденды в сумме 29 598 тысяч долларов США на акции класса «А» и дивиденды в сумме 33 915 тысяч долларов США на акции класса «В».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2014 года в соответствии с подпиской, проведенной в июне 2013 года и в апреле 2014 года (Примечание 24), 162 871 акция класса «В» была зарегистрирована на имя избранных членов высшего руководства.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br w:type="page"/>
      </w:r>
      <w:r w:rsidRPr="00743CE5">
        <w:rPr>
          <w:rFonts w:ascii="Tahoma" w:eastAsia="Times New Roman" w:hAnsi="Tahoma" w:cs="Tahoma"/>
          <w:b/>
          <w:color w:val="000000"/>
          <w:sz w:val="18"/>
          <w:szCs w:val="18"/>
          <w:lang w:eastAsia="ru-RU" w:bidi="ru-RU"/>
        </w:rPr>
        <w:t>31. Существенные события после окончания отчетного периода (продолжение)</w:t>
      </w:r>
    </w:p>
    <w:tbl>
      <w:tblPr>
        <w:tblW w:w="0" w:type="auto"/>
        <w:tblLayout w:type="fixed"/>
        <w:tblCellMar>
          <w:left w:w="0" w:type="dxa"/>
          <w:right w:w="45" w:type="dxa"/>
        </w:tblCellMar>
        <w:tblLook w:val="0000" w:firstRow="0" w:lastRow="0" w:firstColumn="0" w:lastColumn="0" w:noHBand="0" w:noVBand="0"/>
      </w:tblPr>
      <w:tblGrid>
        <w:gridCol w:w="9360"/>
      </w:tblGrid>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мае</w:t>
            </w:r>
            <w:proofErr w:type="gramEnd"/>
            <w:r w:rsidRPr="00743CE5">
              <w:rPr>
                <w:rFonts w:ascii="Tahoma" w:eastAsia="Times New Roman" w:hAnsi="Tahoma" w:cs="Tahoma"/>
                <w:color w:val="000000"/>
                <w:sz w:val="18"/>
                <w:szCs w:val="18"/>
                <w:lang w:eastAsia="ru-RU" w:bidi="ru-RU"/>
              </w:rPr>
              <w:t xml:space="preserve"> 2014 года векселя, выпущенные компанией Centimila Services Limited, были погашены досрочно, и Компания получила 100 000 тысяч долларов США (Примечание 24).</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В апреле 2014 года в отношении займа в размере 100 миллионов долларов США (с возможностью его увеличения до 255 миллионов долларов США) (далее – «Заем») компанией (далее – «Промежуточный акционер»), которая (1) находится под контролем Основного акционера и (2) владеет и контролирует 100% акционерного капитала Centimila Services Limited, Группа (1) предоставила гарантию исполнения Промежуточным акционером своих обязательств в отношении займа, (2) передала</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в залог все акции Ratado Holding Limited (далее – «Ratado», холдинговой компании дочерних предприятий Компании, которые владеют определенным имуществом) в качестве обеспечения по Займу, (3) передала в залог права на получение остатков задолженности компании Ratado перед Компанией в качестве обеспечения по Займу, (4) признала приоритет прав кредиторов по Займу по отношению к своим правам на получение остатков задолженности Ratado перед Компанией</w:t>
            </w:r>
            <w:proofErr w:type="gramEnd"/>
            <w:r w:rsidRPr="00743CE5">
              <w:rPr>
                <w:rFonts w:ascii="Tahoma" w:eastAsia="Times New Roman" w:hAnsi="Tahoma" w:cs="Tahoma"/>
                <w:color w:val="000000"/>
                <w:sz w:val="18"/>
                <w:szCs w:val="18"/>
                <w:lang w:eastAsia="ru-RU" w:bidi="ru-RU"/>
              </w:rPr>
              <w:t>, (5) подтвердила приоритет прав кредиторов по Займу по отношению к обязательствам некоторых дочерних предприятий Компании перед Промежуточным акционером, (6) приняла на себя обязательство соблюдать определенные ограничительные условия и прочие условия и (7) гарантировала выплату определенных вознаграждений.</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proofErr w:type="gramEnd"/>
            <w:r w:rsidRPr="00743CE5">
              <w:rPr>
                <w:rFonts w:ascii="Tahoma" w:eastAsia="Times New Roman" w:hAnsi="Tahoma" w:cs="Tahoma"/>
                <w:color w:val="000000"/>
                <w:sz w:val="18"/>
                <w:szCs w:val="18"/>
                <w:lang w:eastAsia="ru-RU" w:bidi="ru-RU"/>
              </w:rPr>
              <w:t xml:space="preserve"> 2014 года Компания предоставила гарантию исполнения Промежуточным акционером обязательств по контракту на производные инструменты исходя из справедливой стоимости акций Компании, составляющих приблизительно 6,2% ее акционерного капитала (с возможностью увеличения до 14% в случае передачи дополнительных акций компанией Centimila Services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r w:rsidRPr="00743CE5">
              <w:rPr>
                <w:rFonts w:ascii="Tahoma" w:eastAsia="Times New Roman" w:hAnsi="Tahoma" w:cs="Tahoma"/>
                <w:color w:val="000000"/>
                <w:sz w:val="18"/>
                <w:szCs w:val="18"/>
                <w:lang w:eastAsia="ru-RU" w:bidi="ru-RU"/>
              </w:rPr>
              <w:noBreakHyphen/>
              <w:t>мае</w:t>
            </w:r>
            <w:proofErr w:type="gramEnd"/>
            <w:r w:rsidRPr="00743CE5">
              <w:rPr>
                <w:rFonts w:ascii="Tahoma" w:eastAsia="Times New Roman" w:hAnsi="Tahoma" w:cs="Tahoma"/>
                <w:color w:val="000000"/>
                <w:sz w:val="18"/>
                <w:szCs w:val="18"/>
                <w:lang w:eastAsia="ru-RU" w:bidi="ru-RU"/>
              </w:rPr>
              <w:t xml:space="preserve"> 2014 года в результате продажи акций компаниями Centimila Services Limited и Coniston Management Limited новым акционерам (1) доля владения Centimila Services Limited уменьшилась до 62,178% акций класса «B», а (2) доля владения Coniston Management Limited уменьшилась до 2,688% акций класса «B».</w:t>
            </w:r>
          </w:p>
        </w:tc>
      </w:tr>
      <w:tr w:rsidR="00743CE5" w:rsidRPr="00743CE5" w:rsidTr="00743CE5">
        <w:tc>
          <w:tcPr>
            <w:tcW w:w="936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апреле</w:t>
            </w:r>
            <w:proofErr w:type="gramEnd"/>
            <w:r w:rsidRPr="00743CE5">
              <w:rPr>
                <w:rFonts w:ascii="Tahoma" w:eastAsia="Times New Roman" w:hAnsi="Tahoma" w:cs="Tahoma"/>
                <w:color w:val="000000"/>
                <w:sz w:val="18"/>
                <w:szCs w:val="18"/>
                <w:lang w:eastAsia="ru-RU" w:bidi="ru-RU"/>
              </w:rPr>
              <w:t xml:space="preserve"> 2014 года Компания выдала гарантию по займу в размере до 75 миллионов долларов США, предоставленному компанией, находящейся под контролем Основного владельца. На дату данной финансовой отчетности никаких средств по данному займу предоставлено не было.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августе</w:t>
            </w:r>
            <w:proofErr w:type="gramEnd"/>
            <w:r w:rsidRPr="00743CE5">
              <w:rPr>
                <w:rFonts w:ascii="Tahoma" w:eastAsia="Times New Roman" w:hAnsi="Tahoma" w:cs="Tahoma"/>
                <w:color w:val="000000"/>
                <w:sz w:val="18"/>
                <w:szCs w:val="18"/>
                <w:lang w:eastAsia="ru-RU" w:bidi="ru-RU"/>
              </w:rPr>
              <w:t xml:space="preserve"> 2014 года Группой был получен очередной денежный платеж в размере 100 000 тысяч долларов США в рамках погашения векселей, выпущенных Группой в связи с увеличением акционерного капитала 30 декабря 2013 года.</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Аудиторское заключение представлено на страницах 4 и 5</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Default="00743CE5" w:rsidP="00BE0092">
      <w:pPr>
        <w:autoSpaceDE w:val="0"/>
        <w:autoSpaceDN w:val="0"/>
        <w:spacing w:after="0" w:line="240" w:lineRule="auto"/>
        <w:jc w:val="center"/>
        <w:rPr>
          <w:rFonts w:ascii="Times New Roman" w:eastAsia="Times New Roman" w:hAnsi="Times New Roman" w:cs="Arial"/>
          <w:b/>
          <w:bCs/>
          <w:kern w:val="32"/>
          <w:sz w:val="24"/>
          <w:szCs w:val="24"/>
          <w:lang w:eastAsia="ru-RU"/>
        </w:rPr>
        <w:sectPr w:rsidR="00743CE5" w:rsidSect="00CB150F">
          <w:headerReference w:type="default" r:id="rId91"/>
          <w:type w:val="continuous"/>
          <w:pgSz w:w="11906" w:h="16838"/>
          <w:pgMar w:top="1021" w:right="850" w:bottom="1021" w:left="1418" w:header="708" w:footer="708" w:gutter="0"/>
          <w:cols w:space="708"/>
          <w:docGrid w:linePitch="360"/>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1672"/>
        <w:gridCol w:w="232"/>
        <w:gridCol w:w="5556"/>
      </w:tblGrid>
      <w:tr w:rsidR="00743CE5" w:rsidRPr="00743CE5" w:rsidTr="00743CE5">
        <w:tc>
          <w:tcPr>
            <w:tcW w:w="167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3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5556"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8"/>
                <w:szCs w:val="28"/>
                <w:lang w:eastAsia="ru-RU" w:bidi="ru-RU"/>
              </w:rPr>
            </w:pPr>
            <w:r w:rsidRPr="00743CE5">
              <w:rPr>
                <w:rFonts w:ascii="Tahoma" w:eastAsia="Times New Roman" w:hAnsi="Tahoma" w:cs="Tahoma"/>
                <w:b/>
                <w:bCs/>
                <w:color w:val="000000"/>
                <w:sz w:val="28"/>
                <w:szCs w:val="28"/>
                <w:lang w:eastAsia="ru-RU" w:bidi="ru-RU"/>
              </w:rPr>
              <w:t>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ГОДОВОЙ ОТЧЕТ И ФИНАНСОВАЯ ОТЧЕТНОСТЬ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sectPr w:rsidR="00743CE5" w:rsidRPr="00743CE5" w:rsidSect="00CB150F">
          <w:type w:val="continuous"/>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ГОДОВОЙ ОТЧЕТ И ФИНАНСОВАЯ ОТЧЕТНОСТЬ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7358"/>
        <w:gridCol w:w="1412"/>
      </w:tblGrid>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r w:rsidRPr="00743CE5">
              <w:rPr>
                <w:rFonts w:ascii="Tahoma" w:eastAsia="Times New Roman" w:hAnsi="Tahoma" w:cs="Tahoma"/>
                <w:b/>
                <w:bCs/>
                <w:color w:val="000000"/>
                <w:sz w:val="24"/>
                <w:szCs w:val="24"/>
                <w:lang w:eastAsia="ru-RU" w:bidi="ru-RU"/>
              </w:rPr>
              <w:t>СОДЕРЖАНИЕ</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24"/>
                <w:lang w:eastAsia="ru-RU" w:bidi="ru-RU"/>
              </w:rPr>
              <w:t>Стр.</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24"/>
                <w:szCs w:val="24"/>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Совет директоров и другие должностные лица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1</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Совета директоров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2 - 3</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независимого аудитора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4 - 5</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совокупном доходе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6</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финансовом положении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7</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об изменениях в капитале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8</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Отчет о движении денежных средств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9 - 10</w:t>
            </w: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7358"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 xml:space="preserve">Примечания к финансовой отчетности </w:t>
            </w:r>
          </w:p>
        </w:tc>
        <w:tc>
          <w:tcPr>
            <w:tcW w:w="1412" w:type="dxa"/>
            <w:tcBorders>
              <w:top w:val="nil"/>
              <w:left w:val="nil"/>
              <w:bottom w:val="nil"/>
              <w:right w:val="nil"/>
            </w:tcBorders>
            <w:vAlign w:val="center"/>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24"/>
                <w:lang w:eastAsia="ru-RU" w:bidi="ru-RU"/>
              </w:rPr>
              <w:t>11 - 45</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92"/>
          <w:headerReference w:type="default" r:id="rId93"/>
          <w:footerReference w:type="default" r:id="rId94"/>
          <w:headerReference w:type="first" r:id="rId95"/>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СОВЕТ ДИРЕКТОРОВ И ДРУГИЕ ДОЛЖНОСТНЫЕ ЛИЦА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Совет директоров:</w:t>
      </w:r>
      <w:r w:rsidRPr="00743CE5">
        <w:rPr>
          <w:rFonts w:ascii="Tahoma" w:eastAsia="Times New Roman" w:hAnsi="Tahoma" w:cs="Tahoma"/>
          <w:color w:val="000000"/>
          <w:sz w:val="24"/>
          <w:szCs w:val="24"/>
          <w:lang w:eastAsia="ru-RU" w:bidi="ru-RU"/>
        </w:rPr>
        <w:tab/>
        <w:t>Дмитрий Минц</w:t>
      </w:r>
      <w:r w:rsidRPr="00743CE5">
        <w:rPr>
          <w:rFonts w:ascii="Tahoma" w:eastAsia="Times New Roman" w:hAnsi="Tahoma" w:cs="Tahoma"/>
          <w:color w:val="000000"/>
          <w:sz w:val="18"/>
          <w:szCs w:val="24"/>
          <w:lang w:eastAsia="ru-RU" w:bidi="ru-RU"/>
        </w:rPr>
        <w:t xml:space="preserve">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Томаш Замиара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Майкл Стэнтон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Александр Островский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Тимоти Фенуик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Ричард Грегсон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Джон Накос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Константин Янаков (назначен 10 марта 2014 г.)</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Норберт Кикум (назначен 20 января 2015 г.)</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Секретарь Компании:</w:t>
      </w:r>
      <w:r w:rsidRPr="00743CE5">
        <w:rPr>
          <w:rFonts w:ascii="Tahoma" w:eastAsia="Times New Roman" w:hAnsi="Tahoma" w:cs="Tahoma"/>
          <w:b/>
          <w:color w:val="000000"/>
          <w:sz w:val="18"/>
          <w:szCs w:val="24"/>
          <w:lang w:eastAsia="ru-RU" w:bidi="ru-RU"/>
        </w:rPr>
        <w:tab/>
      </w:r>
      <w:r w:rsidRPr="00743CE5">
        <w:rPr>
          <w:rFonts w:ascii="Tahoma" w:eastAsia="Times New Roman" w:hAnsi="Tahoma" w:cs="Tahoma"/>
          <w:color w:val="000000"/>
          <w:sz w:val="24"/>
          <w:szCs w:val="24"/>
          <w:lang w:eastAsia="ru-RU" w:bidi="ru-RU"/>
        </w:rPr>
        <w:t>Теонидза Андриана Константину</w:t>
      </w:r>
      <w:r w:rsidRPr="00743CE5">
        <w:rPr>
          <w:rFonts w:ascii="Tahoma" w:eastAsia="Times New Roman" w:hAnsi="Tahoma" w:cs="Tahoma"/>
          <w:color w:val="000000"/>
          <w:sz w:val="18"/>
          <w:szCs w:val="24"/>
          <w:lang w:eastAsia="ru-RU" w:bidi="ru-RU"/>
        </w:rPr>
        <w:t xml:space="preserve"> </w:t>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Независимые аудиторы:</w:t>
      </w:r>
      <w:r w:rsidRPr="00743CE5">
        <w:rPr>
          <w:rFonts w:ascii="Tahoma" w:eastAsia="Times New Roman" w:hAnsi="Tahoma" w:cs="Tahoma"/>
          <w:b/>
          <w:color w:val="000000"/>
          <w:sz w:val="18"/>
          <w:szCs w:val="24"/>
          <w:lang w:eastAsia="ru-RU" w:bidi="ru-RU"/>
        </w:rPr>
        <w:tab/>
      </w:r>
      <w:r w:rsidRPr="00743CE5">
        <w:rPr>
          <w:rFonts w:ascii="Tahoma" w:eastAsia="Times New Roman" w:hAnsi="Tahoma" w:cs="Tahoma"/>
          <w:color w:val="000000"/>
          <w:sz w:val="24"/>
          <w:szCs w:val="24"/>
          <w:lang w:eastAsia="ru-RU" w:bidi="ru-RU"/>
        </w:rPr>
        <w:t>PricewaterhouseCoopers Limited</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Сертифицированные бухгалтеры и зарегистрированные аудиторы</w:t>
      </w:r>
    </w:p>
    <w:p w:rsidR="00743CE5" w:rsidRPr="00743CE5" w:rsidRDefault="00743CE5" w:rsidP="00743CE5">
      <w:pPr>
        <w:widowControl w:val="0"/>
        <w:tabs>
          <w:tab w:val="left" w:pos="3685"/>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24"/>
          <w:szCs w:val="24"/>
          <w:lang w:eastAsia="ru-RU" w:bidi="ru-RU"/>
        </w:rPr>
        <w:tab/>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tbl>
      <w:tblPr>
        <w:tblW w:w="0" w:type="auto"/>
        <w:tblLayout w:type="fixed"/>
        <w:tblCellMar>
          <w:left w:w="0" w:type="dxa"/>
          <w:right w:w="39" w:type="dxa"/>
        </w:tblCellMar>
        <w:tblLook w:val="0000" w:firstRow="0" w:lastRow="0" w:firstColumn="0" w:lastColumn="0" w:noHBand="0" w:noVBand="0"/>
      </w:tblPr>
      <w:tblGrid>
        <w:gridCol w:w="3917"/>
        <w:gridCol w:w="4524"/>
        <w:gridCol w:w="4105"/>
      </w:tblGrid>
      <w:tr w:rsidR="00743CE5" w:rsidRPr="00743CE5" w:rsidTr="00743CE5">
        <w:tc>
          <w:tcPr>
            <w:tcW w:w="3917"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Адрес зарегистрированного офиса:</w:t>
            </w:r>
            <w:r w:rsidRPr="00743CE5">
              <w:rPr>
                <w:rFonts w:ascii="Tahoma" w:eastAsia="Times New Roman" w:hAnsi="Tahoma" w:cs="Tahoma"/>
                <w:color w:val="000000"/>
                <w:sz w:val="18"/>
                <w:szCs w:val="18"/>
                <w:lang w:eastAsia="ru-RU" w:bidi="ru-RU"/>
              </w:rPr>
              <w:t xml:space="preserve">  </w:t>
            </w:r>
          </w:p>
        </w:tc>
        <w:tc>
          <w:tcPr>
            <w:tcW w:w="4524"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 Spyrou Kyprianou</w:t>
            </w:r>
          </w:p>
        </w:tc>
        <w:tc>
          <w:tcPr>
            <w:tcW w:w="4105"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43CE5" w:rsidRPr="00743CE5" w:rsidTr="00743CE5">
        <w:tc>
          <w:tcPr>
            <w:tcW w:w="3917"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2nd Floor</w:t>
            </w:r>
          </w:p>
        </w:tc>
        <w:tc>
          <w:tcPr>
            <w:tcW w:w="4105"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43CE5" w:rsidRPr="00743CE5" w:rsidTr="00743CE5">
        <w:tc>
          <w:tcPr>
            <w:tcW w:w="3917"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1075 Nicosia</w:t>
            </w:r>
          </w:p>
        </w:tc>
        <w:tc>
          <w:tcPr>
            <w:tcW w:w="4105"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r w:rsidR="00743CE5" w:rsidRPr="00743CE5" w:rsidTr="00743CE5">
        <w:tc>
          <w:tcPr>
            <w:tcW w:w="3917"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524" w:type="dxa"/>
            <w:tcBorders>
              <w:top w:val="nil"/>
              <w:left w:val="nil"/>
              <w:bottom w:val="nil"/>
              <w:right w:val="nil"/>
            </w:tcBorders>
            <w:tcMar>
              <w:lef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Cyprus</w:t>
            </w:r>
          </w:p>
        </w:tc>
        <w:tc>
          <w:tcPr>
            <w:tcW w:w="4105" w:type="dxa"/>
            <w:tcBorders>
              <w:top w:val="nil"/>
              <w:left w:val="nil"/>
              <w:bottom w:val="nil"/>
              <w:right w:val="nil"/>
            </w:tcBorders>
            <w:tcMar>
              <w:left w:w="0" w:type="dxa"/>
            </w:tcMar>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Банки:</w:t>
      </w:r>
      <w:r w:rsidRPr="00743CE5">
        <w:rPr>
          <w:rFonts w:ascii="Tahoma" w:eastAsia="Times New Roman" w:hAnsi="Tahoma" w:cs="Tahoma"/>
          <w:b/>
          <w:color w:val="000000"/>
          <w:sz w:val="18"/>
          <w:szCs w:val="24"/>
          <w:lang w:eastAsia="ru-RU" w:bidi="ru-RU"/>
        </w:rPr>
        <w:tab/>
      </w:r>
      <w:r w:rsidRPr="00743CE5">
        <w:rPr>
          <w:rFonts w:ascii="Tahoma" w:eastAsia="Times New Roman" w:hAnsi="Tahoma" w:cs="Tahoma"/>
          <w:color w:val="000000"/>
          <w:sz w:val="24"/>
          <w:szCs w:val="24"/>
          <w:lang w:eastAsia="ru-RU" w:bidi="ru-RU"/>
        </w:rPr>
        <w:t>Номос-Банк</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 xml:space="preserve">КБ «Москоммерцбанк» (ОАО) </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VTB Capital Plc</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Bank of Cyprus Plc</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ЗАО «Кредит Европа Банк»</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UBS AG</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Russian Commercial Bank (Cyprus) Ltd</w:t>
      </w: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LGT Bank (Schweiz) AG</w:t>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3968"/>
        </w:tabs>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24"/>
          <w:lang w:eastAsia="ru-RU" w:bidi="ru-RU"/>
        </w:rPr>
        <w:t>Регистрационный номер:</w:t>
      </w:r>
      <w:r w:rsidRPr="00743CE5">
        <w:rPr>
          <w:rFonts w:ascii="Tahoma" w:eastAsia="Times New Roman" w:hAnsi="Tahoma" w:cs="Tahoma"/>
          <w:color w:val="000000"/>
          <w:sz w:val="18"/>
          <w:szCs w:val="24"/>
          <w:lang w:eastAsia="ru-RU" w:bidi="ru-RU"/>
        </w:rPr>
        <w:t xml:space="preserve"> </w:t>
      </w:r>
      <w:r w:rsidRPr="00743CE5">
        <w:rPr>
          <w:rFonts w:ascii="Tahoma" w:eastAsia="Times New Roman" w:hAnsi="Tahoma" w:cs="Tahoma"/>
          <w:color w:val="000000"/>
          <w:sz w:val="24"/>
          <w:szCs w:val="24"/>
          <w:lang w:eastAsia="ru-RU" w:bidi="ru-RU"/>
        </w:rPr>
        <w:tab/>
      </w:r>
      <w:r w:rsidRPr="00743CE5">
        <w:rPr>
          <w:rFonts w:ascii="Tahoma" w:eastAsia="Times New Roman" w:hAnsi="Tahoma" w:cs="Tahoma"/>
          <w:color w:val="000000"/>
          <w:sz w:val="18"/>
          <w:szCs w:val="24"/>
          <w:lang w:eastAsia="ru-RU" w:bidi="ru-RU"/>
        </w:rPr>
        <w:t>HE 272334</w:t>
      </w:r>
    </w:p>
    <w:p w:rsidR="00743CE5" w:rsidRPr="00743CE5" w:rsidRDefault="00743CE5" w:rsidP="00743CE5">
      <w:pPr>
        <w:widowControl w:val="0"/>
        <w:autoSpaceDE w:val="0"/>
        <w:autoSpaceDN w:val="0"/>
        <w:adjustRightInd w:val="0"/>
        <w:spacing w:after="0" w:line="240" w:lineRule="auto"/>
        <w:ind w:left="3968" w:hanging="3968"/>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A154DE">
          <w:headerReference w:type="even" r:id="rId96"/>
          <w:headerReference w:type="default" r:id="rId97"/>
          <w:footerReference w:type="default" r:id="rId98"/>
          <w:headerReference w:type="first" r:id="rId99"/>
          <w:pgSz w:w="11952" w:h="16848"/>
          <w:pgMar w:top="1021" w:right="1190" w:bottom="1021" w:left="1418" w:header="720" w:footer="720" w:gutter="0"/>
          <w:pgNumType w:start="736"/>
          <w:cols w:space="720"/>
          <w:noEndnote/>
        </w:sect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Отчет совета директоров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Совет директоров O1 Properties Limited (или далее - «Компания») представляет свой отчет совместно с подтвержденной аудитором финансовой отчетностью Компании за год, закончившийся 31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Изменение названия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43CE5">
        <w:rPr>
          <w:rFonts w:ascii="Tahoma" w:eastAsia="Times New Roman" w:hAnsi="Tahoma" w:cs="Tahoma"/>
          <w:color w:val="000000"/>
          <w:sz w:val="18"/>
          <w:szCs w:val="18"/>
          <w:lang w:eastAsia="ru-RU" w:bidi="ru-RU"/>
        </w:rPr>
        <w:t xml:space="preserve"> под названием 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2159"/>
          <w:tab w:val="left" w:pos="2879"/>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Основная деятельность</w:t>
      </w: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Основной деятельностью Компании, которая не изменилась по сравнению с прошлым годом,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составляющие инвестиции в дочерние и ассоциированные предприятия, которые работают на рынке недвижимости Российской Федерации.</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Обзор развития и текущего положения Компании, описание основных рисков и факторов неопределенности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Развитие Компании на данный момент, ее финансовые результаты и положение, представленные в финансовой отчетности, считаются удовлетворительными.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Основные риски и факторы неопределенности, с которыми сталкивается Компания, а также действия, направленные на управление этими рисками, представлены в Примечании 3 финансовой отчетности.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Результаты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Результаты деятельности Компании за год представлены на странице 7.  Чистый убыток за год переносится на будущий период.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Дивиденды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2014 году Совет директоров утвердил выплату дивидендов в сумме 84 514 816 долларов США (2013 г.: 52 556 210 долларов США).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Акционерный капитал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Изменения в акционерном капитале Компании представлены в Примечании 23.</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Совет директоров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Члены Совета директоров Компании на 31 декабря 2014 года и на дату данного отчета перечислены на странице 1. Все они являлись членами Совета директоров на протяжении 2014 года, за исключением Константина Янакова и Норберта Кикума. 10 марта 2014 года Константин Янаков был назначен еще одним директором Компании. 29 января 2015 года Норберт Кикум был назначен еще одним директором Компании.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соответствии</w:t>
      </w:r>
      <w:proofErr w:type="gramEnd"/>
      <w:r w:rsidRPr="00743CE5">
        <w:rPr>
          <w:rFonts w:ascii="Tahoma" w:eastAsia="Times New Roman" w:hAnsi="Tahoma" w:cs="Tahoma"/>
          <w:color w:val="000000"/>
          <w:sz w:val="18"/>
          <w:szCs w:val="18"/>
          <w:lang w:eastAsia="ru-RU" w:bidi="ru-RU"/>
        </w:rPr>
        <w:t xml:space="preserve"> с Уставом Компании все директора, являющиеся членами Совета директоров, продолжают выполнять свои обязанности.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Существенных изменений в распределении обязанностей и вознаграждении членов Совета директоров не произошло.</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Существенные события после окончания отчетного периода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Все существенные события, произошедшие после окончания отчетного периода, представлены в Примечании 31 финансовой отчетности.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Филиалы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года, закончившегося 31 декабря 2014 года, Компания не имела филиалов.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Отчет совета директоров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Независимые аудиторы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Независимые аудиторы, PricewaterhouseCoopers Limited, выразили желание продолжить выполнять обязанности аудитора. Решение, предоставляющее право Совету директоров назначить им вознаграждение, будет предложено на общем годовом собрании акционеров.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 поручению Совета директоров,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Теонидза Андриана Константину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Секретарь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 июля 2015 г.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center" w:pos="4672"/>
        </w:tabs>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footerReference w:type="default" r:id="rId100"/>
          <w:pgSz w:w="11952" w:h="16848"/>
          <w:pgMar w:top="1021" w:right="1190" w:bottom="1021" w:left="1418" w:header="720" w:footer="720" w:gutter="0"/>
          <w:cols w:space="720"/>
          <w:noEndnote/>
        </w:sectPr>
      </w:pPr>
      <w:r w:rsidRPr="00743CE5">
        <w:rPr>
          <w:rFonts w:ascii="Tahoma" w:eastAsia="Times New Roman" w:hAnsi="Tahoma" w:cs="Tahoma"/>
          <w:color w:val="000000"/>
          <w:sz w:val="18"/>
          <w:szCs w:val="18"/>
          <w:lang w:eastAsia="ru-RU" w:bidi="ru-RU"/>
        </w:rPr>
        <w:tab/>
      </w:r>
    </w:p>
    <w:p w:rsidR="005929AB" w:rsidRPr="005929AB" w:rsidRDefault="005929AB" w:rsidP="005929AB">
      <w:pPr>
        <w:spacing w:after="0" w:line="240" w:lineRule="atLeast"/>
        <w:jc w:val="both"/>
        <w:rPr>
          <w:rFonts w:ascii="Georgia" w:eastAsia="Times New Roman" w:hAnsi="Georgia" w:cs="Arial"/>
          <w:b/>
          <w:bCs/>
          <w:color w:val="000000"/>
          <w:sz w:val="32"/>
          <w:szCs w:val="32"/>
          <w:lang w:eastAsia="ru-RU" w:bidi="ru-RU"/>
        </w:rPr>
      </w:pPr>
      <w:r w:rsidRPr="005929AB">
        <w:rPr>
          <w:rFonts w:ascii="Georgia" w:eastAsia="Times New Roman" w:hAnsi="Georgia" w:cs="Times New Roman"/>
          <w:b/>
          <w:color w:val="000000"/>
          <w:sz w:val="32"/>
          <w:szCs w:val="20"/>
          <w:lang w:eastAsia="ru-RU" w:bidi="ru-RU"/>
        </w:rPr>
        <w:t>Аудиторское заключение</w:t>
      </w:r>
    </w:p>
    <w:p w:rsidR="005929AB" w:rsidRPr="005929AB" w:rsidRDefault="005929AB" w:rsidP="005929AB">
      <w:pPr>
        <w:spacing w:after="0" w:line="240" w:lineRule="atLeast"/>
        <w:jc w:val="both"/>
        <w:rPr>
          <w:rFonts w:ascii="Georgia" w:eastAsia="Times New Roman" w:hAnsi="Georgia" w:cs="Arial"/>
          <w:bCs/>
          <w:color w:val="000000"/>
          <w:sz w:val="32"/>
          <w:szCs w:val="32"/>
          <w:lang w:eastAsia="ru-RU" w:bidi="ru-RU"/>
        </w:rPr>
      </w:pPr>
      <w:r w:rsidRPr="005929AB">
        <w:rPr>
          <w:rFonts w:ascii="Georgia" w:eastAsia="Times New Roman" w:hAnsi="Georgia" w:cs="Times New Roman"/>
          <w:color w:val="000000"/>
          <w:sz w:val="32"/>
          <w:szCs w:val="20"/>
          <w:lang w:eastAsia="ru-RU" w:bidi="ru-RU"/>
        </w:rPr>
        <w:t>Участникам O1 Properties Limited</w:t>
      </w:r>
    </w:p>
    <w:p w:rsidR="005929AB" w:rsidRPr="005929AB" w:rsidRDefault="005929AB" w:rsidP="005929AB">
      <w:pPr>
        <w:spacing w:after="0" w:line="240" w:lineRule="atLeast"/>
        <w:jc w:val="both"/>
        <w:rPr>
          <w:rFonts w:ascii="Georgia" w:eastAsia="Times New Roman" w:hAnsi="Georgia" w:cs="Arial"/>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b/>
          <w:bCs/>
          <w:sz w:val="24"/>
          <w:szCs w:val="24"/>
          <w:lang w:eastAsia="ru-RU" w:bidi="ru-RU"/>
        </w:rPr>
      </w:pPr>
      <w:r w:rsidRPr="005929AB">
        <w:rPr>
          <w:rFonts w:ascii="Georgia" w:eastAsia="Times New Roman" w:hAnsi="Georgia" w:cs="Times New Roman"/>
          <w:b/>
          <w:sz w:val="24"/>
          <w:szCs w:val="20"/>
          <w:lang w:eastAsia="ru-RU" w:bidi="ru-RU"/>
        </w:rPr>
        <w:t>Заключение в отношении финансовой отчетности</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roofErr w:type="gramStart"/>
      <w:r w:rsidRPr="005929AB">
        <w:rPr>
          <w:rFonts w:ascii="Georgia" w:eastAsia="Times New Roman" w:hAnsi="Georgia" w:cs="Times New Roman"/>
          <w:sz w:val="20"/>
          <w:szCs w:val="20"/>
          <w:lang w:eastAsia="ru-RU" w:bidi="ru-RU"/>
        </w:rPr>
        <w:t>Мы провели аудит прилагаемой финансовой отчетности материнской компании O1 Properties Limited (далее – «Компания»), которая включает отчет о финансовом положении по состоянию на 31 декабря 2014 года и отчеты о совокупном доходе, об изменениях в капитале и о движении денежных средств за год, закончившийся на указанную дату, а также основные положения учетной политики и прочую пояснительную информацию.</w:t>
      </w:r>
      <w:proofErr w:type="gramEnd"/>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i/>
          <w:iCs/>
          <w:sz w:val="20"/>
          <w:szCs w:val="20"/>
          <w:lang w:eastAsia="ru-RU" w:bidi="ru-RU"/>
        </w:rPr>
      </w:pPr>
      <w:r w:rsidRPr="005929AB">
        <w:rPr>
          <w:rFonts w:ascii="Georgia" w:eastAsia="Times New Roman" w:hAnsi="Georgia" w:cs="Times New Roman"/>
          <w:i/>
          <w:sz w:val="20"/>
          <w:szCs w:val="20"/>
          <w:lang w:eastAsia="ru-RU" w:bidi="ru-RU"/>
        </w:rPr>
        <w:t>Ответственность Совета директоров за составление финансовой отчетности</w:t>
      </w:r>
    </w:p>
    <w:p w:rsidR="005929AB" w:rsidRPr="005929AB" w:rsidRDefault="005929AB" w:rsidP="005929AB">
      <w:pPr>
        <w:spacing w:after="0" w:line="240" w:lineRule="atLeast"/>
        <w:jc w:val="both"/>
        <w:rPr>
          <w:rFonts w:ascii="Georgia" w:eastAsia="Times New Roman" w:hAnsi="Georgia" w:cs="Times New Roman"/>
          <w:i/>
          <w:iCs/>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roofErr w:type="gramStart"/>
      <w:r w:rsidRPr="005929AB">
        <w:rPr>
          <w:rFonts w:ascii="Georgia" w:eastAsia="Times New Roman" w:hAnsi="Georgia" w:cs="Times New Roman"/>
          <w:sz w:val="20"/>
          <w:szCs w:val="20"/>
          <w:lang w:eastAsia="ru-RU" w:bidi="ru-RU"/>
        </w:rPr>
        <w:t>Совет директоров несет ответственность за составление и достоверное и точное представление данной финансовой отчетности в соответствии с Международными стандартами финансовой отчетности, принятыми Европейским союзом (ЕС), а также в соответствии с Законом о компаниях Кипра, Раздел 113, а также за систему внутреннего контроля, которую Совет директоров считает необходимой для составления финансовой отчетности, не содержащей существенных искажений в результате недобросовестных действий или</w:t>
      </w:r>
      <w:proofErr w:type="gramEnd"/>
      <w:r w:rsidRPr="005929AB">
        <w:rPr>
          <w:rFonts w:ascii="Georgia" w:eastAsia="Times New Roman" w:hAnsi="Georgia" w:cs="Times New Roman"/>
          <w:sz w:val="20"/>
          <w:szCs w:val="20"/>
          <w:lang w:eastAsia="ru-RU" w:bidi="ru-RU"/>
        </w:rPr>
        <w:t xml:space="preserve"> ошибок.</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i/>
          <w:iCs/>
          <w:sz w:val="20"/>
          <w:szCs w:val="20"/>
          <w:lang w:eastAsia="ru-RU" w:bidi="ru-RU"/>
        </w:rPr>
      </w:pPr>
      <w:r w:rsidRPr="005929AB">
        <w:rPr>
          <w:rFonts w:ascii="Georgia" w:eastAsia="Times New Roman" w:hAnsi="Georgia" w:cs="Times New Roman"/>
          <w:i/>
          <w:sz w:val="20"/>
          <w:szCs w:val="20"/>
          <w:lang w:eastAsia="ru-RU" w:bidi="ru-RU"/>
        </w:rPr>
        <w:t>Ответственность аудитора</w:t>
      </w:r>
    </w:p>
    <w:p w:rsidR="005929AB" w:rsidRPr="005929AB" w:rsidRDefault="005929AB" w:rsidP="005929AB">
      <w:pPr>
        <w:spacing w:after="0" w:line="240" w:lineRule="atLeast"/>
        <w:jc w:val="both"/>
        <w:rPr>
          <w:rFonts w:ascii="Georgia" w:eastAsia="Times New Roman" w:hAnsi="Georgia" w:cs="Times New Roman"/>
          <w:i/>
          <w:iCs/>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Наша ответственность заключается в выражении мнения о достоверности данной финансовой отчетности на основе проведенного нами аудита. Мы провели аудит в соответствии с Международными стандартами аудита.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финансовая отчетность не содержит существенных искажений.</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 xml:space="preserve">Аудит включает проведение процедур, направленных на получение аудиторских доказательств, подтверждающих числовые показатели в финансовой отчетности и раскрытие в ней информации. Выбор процедур зависит от профессионального суждения аудитора, включая оценку рисков существенного искажения финансовой отчетности вследствие недобросовестных действий или ошибок. </w:t>
      </w:r>
      <w:proofErr w:type="gramStart"/>
      <w:r w:rsidRPr="005929AB">
        <w:rPr>
          <w:rFonts w:ascii="Georgia" w:eastAsia="Times New Roman" w:hAnsi="Georgia" w:cs="Times New Roman"/>
          <w:sz w:val="20"/>
          <w:szCs w:val="20"/>
          <w:lang w:eastAsia="ru-RU" w:bidi="ru-RU"/>
        </w:rPr>
        <w:t>В процессе оценки вышеупомянутых рисков аудитор рассматривает систему внутреннего контроля, связанную с составлением и достоверным представлением финансовой отчетности компании с тем, чтобы разработать аудиторские процедуры, необходимые в данных обстоятельствах, но не с целью выражения мнения об эффективности системы внутреннего контроля компании.</w:t>
      </w:r>
      <w:proofErr w:type="gramEnd"/>
      <w:r w:rsidRPr="005929AB">
        <w:rPr>
          <w:rFonts w:ascii="Georgia" w:eastAsia="Times New Roman" w:hAnsi="Georgia" w:cs="Times New Roman"/>
          <w:sz w:val="20"/>
          <w:szCs w:val="20"/>
          <w:lang w:eastAsia="ru-RU" w:bidi="ru-RU"/>
        </w:rPr>
        <w:t xml:space="preserve"> Аудит также включает оценку надлежащего характера применяемой учетной политики и обоснованности бухгалтерских оценок, сделанных Советом директоров, а также оценку представления финансовой отчетности в целом.</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Мы полагаем, что полученные нами аудиторские доказательства являются достаточными и надлежащими для выражения нашего о достоверности данной отчетности.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01"/>
          <w:headerReference w:type="default" r:id="rId102"/>
          <w:footerReference w:type="default" r:id="rId103"/>
          <w:headerReference w:type="first" r:id="rId104"/>
          <w:pgSz w:w="11952" w:h="16848"/>
          <w:pgMar w:top="1021" w:right="1190" w:bottom="1021" w:left="1418" w:header="720" w:footer="720" w:gutter="0"/>
          <w:cols w:space="720"/>
          <w:noEndnote/>
        </w:sectPr>
      </w:pPr>
    </w:p>
    <w:p w:rsidR="005929AB" w:rsidRPr="005929AB" w:rsidRDefault="005929AB" w:rsidP="005929AB">
      <w:pPr>
        <w:spacing w:after="0" w:line="240" w:lineRule="atLeast"/>
        <w:jc w:val="both"/>
        <w:rPr>
          <w:rFonts w:ascii="Georgia" w:eastAsia="Times New Roman" w:hAnsi="Georgia" w:cs="Times New Roman"/>
          <w:i/>
          <w:iCs/>
          <w:sz w:val="20"/>
          <w:szCs w:val="20"/>
          <w:lang w:eastAsia="ru-RU" w:bidi="ru-RU"/>
        </w:rPr>
      </w:pPr>
      <w:r w:rsidRPr="005929AB">
        <w:rPr>
          <w:rFonts w:ascii="Georgia" w:eastAsia="Times New Roman" w:hAnsi="Georgia" w:cs="Times New Roman"/>
          <w:i/>
          <w:sz w:val="20"/>
          <w:szCs w:val="20"/>
          <w:lang w:eastAsia="ru-RU" w:bidi="ru-RU"/>
        </w:rPr>
        <w:t>Мнение</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roofErr w:type="gramStart"/>
      <w:r w:rsidRPr="005929AB">
        <w:rPr>
          <w:rFonts w:ascii="Georgia" w:eastAsia="Times New Roman" w:hAnsi="Georgia" w:cs="Times New Roman"/>
          <w:sz w:val="20"/>
          <w:szCs w:val="20"/>
          <w:lang w:eastAsia="ru-RU" w:bidi="ru-RU"/>
        </w:rPr>
        <w:t>По нашему мнению, настоящая финансовая отчетность достоверно отражает финансовое положение материнской компании O1 Properties Limited по состоянию на 31 декабря 2014 года, а также ее финансовые результаты и движение денежных средств за год, закончившийся на указанную дату, в соответствии с Международными стандартами финансовой отчетности, принятыми Европейским Союзом, а также в соответствии с Законом о компаниях Кипра, Раздел 113.</w:t>
      </w:r>
      <w:proofErr w:type="gramEnd"/>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b/>
          <w:bCs/>
          <w:sz w:val="24"/>
          <w:szCs w:val="24"/>
          <w:lang w:eastAsia="ru-RU" w:bidi="ru-RU"/>
        </w:rPr>
      </w:pPr>
      <w:r w:rsidRPr="005929AB">
        <w:rPr>
          <w:rFonts w:ascii="Georgia" w:eastAsia="Times New Roman" w:hAnsi="Georgia" w:cs="Times New Roman"/>
          <w:b/>
          <w:sz w:val="24"/>
          <w:szCs w:val="20"/>
          <w:lang w:eastAsia="ru-RU" w:bidi="ru-RU"/>
        </w:rPr>
        <w:t>Отчет о соблюдении прочих требований законодательства</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 xml:space="preserve">В </w:t>
      </w:r>
      <w:proofErr w:type="gramStart"/>
      <w:r w:rsidRPr="005929AB">
        <w:rPr>
          <w:rFonts w:ascii="Georgia" w:eastAsia="Times New Roman" w:hAnsi="Georgia" w:cs="Times New Roman"/>
          <w:sz w:val="20"/>
          <w:szCs w:val="20"/>
          <w:lang w:eastAsia="ru-RU" w:bidi="ru-RU"/>
        </w:rPr>
        <w:t>соответствии</w:t>
      </w:r>
      <w:proofErr w:type="gramEnd"/>
      <w:r w:rsidRPr="005929AB">
        <w:rPr>
          <w:rFonts w:ascii="Georgia" w:eastAsia="Times New Roman" w:hAnsi="Georgia" w:cs="Times New Roman"/>
          <w:sz w:val="20"/>
          <w:szCs w:val="20"/>
          <w:lang w:eastAsia="ru-RU" w:bidi="ru-RU"/>
        </w:rPr>
        <w:t xml:space="preserve"> с дополнительными требованиями Законов об аудиторах и аудите годовой и консолидированной отчетности 2009 и 2013 гг. мы сообщаем следующее:</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widowControl w:val="0"/>
        <w:numPr>
          <w:ilvl w:val="0"/>
          <w:numId w:val="11"/>
        </w:numPr>
        <w:autoSpaceDE w:val="0"/>
        <w:autoSpaceDN w:val="0"/>
        <w:adjustRightInd w:val="0"/>
        <w:spacing w:after="0" w:line="240" w:lineRule="atLeast"/>
        <w:ind w:hanging="720"/>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Мы получили всю информацию и разъяснения, которые считали необходимыми для целей проведения аудита.</w:t>
      </w:r>
    </w:p>
    <w:p w:rsidR="005929AB" w:rsidRPr="005929AB" w:rsidRDefault="005929AB" w:rsidP="005929AB">
      <w:pPr>
        <w:spacing w:after="0" w:line="240" w:lineRule="atLeast"/>
        <w:ind w:left="720" w:hanging="720"/>
        <w:jc w:val="both"/>
        <w:rPr>
          <w:rFonts w:ascii="Georgia" w:eastAsia="Times New Roman" w:hAnsi="Georgia" w:cs="Times New Roman"/>
          <w:sz w:val="20"/>
          <w:szCs w:val="20"/>
          <w:lang w:eastAsia="ru-RU" w:bidi="ru-RU"/>
        </w:rPr>
      </w:pPr>
    </w:p>
    <w:p w:rsidR="005929AB" w:rsidRPr="005929AB" w:rsidRDefault="005929AB" w:rsidP="005929AB">
      <w:pPr>
        <w:widowControl w:val="0"/>
        <w:numPr>
          <w:ilvl w:val="0"/>
          <w:numId w:val="11"/>
        </w:numPr>
        <w:autoSpaceDE w:val="0"/>
        <w:autoSpaceDN w:val="0"/>
        <w:adjustRightInd w:val="0"/>
        <w:spacing w:after="0" w:line="240" w:lineRule="atLeast"/>
        <w:ind w:hanging="720"/>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По нашему мнению, из результатов проведенной нами проверки учетных записей следует, что Компания ведет бухгалтерский учет надлежащим образом.</w:t>
      </w:r>
    </w:p>
    <w:p w:rsidR="005929AB" w:rsidRPr="005929AB" w:rsidRDefault="005929AB" w:rsidP="005929AB">
      <w:pPr>
        <w:spacing w:after="0" w:line="290" w:lineRule="atLeast"/>
        <w:ind w:left="720" w:hanging="720"/>
        <w:jc w:val="both"/>
        <w:rPr>
          <w:rFonts w:ascii="Georgia" w:eastAsia="Times New Roman" w:hAnsi="Georgia" w:cs="Times New Roman"/>
          <w:sz w:val="20"/>
          <w:szCs w:val="20"/>
          <w:lang w:eastAsia="ru-RU" w:bidi="ru-RU"/>
        </w:rPr>
      </w:pPr>
    </w:p>
    <w:p w:rsidR="005929AB" w:rsidRPr="005929AB" w:rsidRDefault="005929AB" w:rsidP="005929AB">
      <w:pPr>
        <w:widowControl w:val="0"/>
        <w:numPr>
          <w:ilvl w:val="0"/>
          <w:numId w:val="11"/>
        </w:numPr>
        <w:autoSpaceDE w:val="0"/>
        <w:autoSpaceDN w:val="0"/>
        <w:adjustRightInd w:val="0"/>
        <w:spacing w:after="0" w:line="240" w:lineRule="atLeast"/>
        <w:ind w:hanging="720"/>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Финансовая отчетность Компании соответствует данным бухгалтерского учета.</w:t>
      </w:r>
    </w:p>
    <w:p w:rsidR="005929AB" w:rsidRPr="005929AB" w:rsidRDefault="005929AB" w:rsidP="005929AB">
      <w:pPr>
        <w:spacing w:after="0" w:line="290" w:lineRule="atLeast"/>
        <w:ind w:left="720" w:hanging="720"/>
        <w:jc w:val="both"/>
        <w:rPr>
          <w:rFonts w:ascii="Georgia" w:eastAsia="Times New Roman" w:hAnsi="Georgia" w:cs="Times New Roman"/>
          <w:sz w:val="20"/>
          <w:szCs w:val="20"/>
          <w:lang w:eastAsia="ru-RU" w:bidi="ru-RU"/>
        </w:rPr>
      </w:pPr>
    </w:p>
    <w:p w:rsidR="005929AB" w:rsidRPr="005929AB" w:rsidRDefault="005929AB" w:rsidP="005929AB">
      <w:pPr>
        <w:widowControl w:val="0"/>
        <w:numPr>
          <w:ilvl w:val="0"/>
          <w:numId w:val="11"/>
        </w:numPr>
        <w:autoSpaceDE w:val="0"/>
        <w:autoSpaceDN w:val="0"/>
        <w:adjustRightInd w:val="0"/>
        <w:spacing w:after="0" w:line="240" w:lineRule="atLeast"/>
        <w:ind w:hanging="720"/>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По нашему мнению, и в соответствии с имеющейся у нас информацией и полученными разъяснениями, настоящая финансовая отчетность содержит информацию, представление которой необходимо в соответствии с Законом о компаниях Кипра, Раздел 113, подготовленную в соответствии с требованиями этого Закона.</w:t>
      </w:r>
    </w:p>
    <w:p w:rsidR="005929AB" w:rsidRPr="005929AB" w:rsidRDefault="005929AB" w:rsidP="005929AB">
      <w:pPr>
        <w:spacing w:after="0" w:line="290" w:lineRule="atLeast"/>
        <w:ind w:left="720" w:hanging="720"/>
        <w:jc w:val="both"/>
        <w:rPr>
          <w:rFonts w:ascii="Georgia" w:eastAsia="Times New Roman" w:hAnsi="Georgia" w:cs="Times New Roman"/>
          <w:sz w:val="20"/>
          <w:szCs w:val="20"/>
          <w:lang w:eastAsia="ru-RU" w:bidi="ru-RU"/>
        </w:rPr>
      </w:pPr>
    </w:p>
    <w:p w:rsidR="005929AB" w:rsidRPr="005929AB" w:rsidRDefault="005929AB" w:rsidP="005929AB">
      <w:pPr>
        <w:widowControl w:val="0"/>
        <w:numPr>
          <w:ilvl w:val="0"/>
          <w:numId w:val="11"/>
        </w:numPr>
        <w:autoSpaceDE w:val="0"/>
        <w:autoSpaceDN w:val="0"/>
        <w:adjustRightInd w:val="0"/>
        <w:spacing w:after="0" w:line="240" w:lineRule="atLeast"/>
        <w:ind w:hanging="720"/>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По нашему мнению, информация, представленная в Отчете Совета директоров, соответствует финансовой отчетности.</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b/>
          <w:bCs/>
          <w:sz w:val="24"/>
          <w:szCs w:val="24"/>
          <w:lang w:eastAsia="ru-RU" w:bidi="ru-RU"/>
        </w:rPr>
      </w:pPr>
      <w:r w:rsidRPr="005929AB">
        <w:rPr>
          <w:rFonts w:ascii="Georgia" w:eastAsia="Times New Roman" w:hAnsi="Georgia" w:cs="Times New Roman"/>
          <w:b/>
          <w:sz w:val="24"/>
          <w:szCs w:val="20"/>
          <w:lang w:eastAsia="ru-RU" w:bidi="ru-RU"/>
        </w:rPr>
        <w:t>Прочие вопросы</w:t>
      </w:r>
    </w:p>
    <w:p w:rsidR="005929AB" w:rsidRPr="005929AB" w:rsidRDefault="005929AB" w:rsidP="005929AB">
      <w:pPr>
        <w:spacing w:after="0" w:line="240" w:lineRule="atLeast"/>
        <w:jc w:val="both"/>
        <w:rPr>
          <w:rFonts w:ascii="Georgia" w:eastAsia="Times New Roman" w:hAnsi="Georgia" w:cs="Times New Roman"/>
          <w:b/>
          <w:bCs/>
          <w:sz w:val="20"/>
          <w:szCs w:val="20"/>
          <w:lang w:eastAsia="ru-RU" w:bidi="ru-RU"/>
        </w:rPr>
      </w:pP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sz w:val="20"/>
          <w:szCs w:val="18"/>
          <w:lang w:eastAsia="ru-RU" w:bidi="ru-RU"/>
        </w:rPr>
        <w:t>Данное заключение, включая мнение аудитора, было подготовлено только для участников Компании в целом в соответствии с требованиями Раздела 34 Закона об аудиторах и аудите годовой и консолидированной отчетности 2009 и 2013 гг. и не может быть использовано в каких-либо иных целях.  Выражая наше мнение, мы не принимаем на себя никакой ответственности и никаких обязательств в каких-либо иных целях или перед другими лицами, которые могут ознакомиться с данным заключением.</w:t>
      </w: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sz w:val="20"/>
          <w:szCs w:val="18"/>
          <w:lang w:eastAsia="ru-RU" w:bidi="ru-RU"/>
        </w:rPr>
        <w:t>Мы выпустили отдельное заключение в отношении консолидированной финансовой отчетности Компан</w:t>
      </w:r>
      <w:proofErr w:type="gramStart"/>
      <w:r w:rsidRPr="005929AB">
        <w:rPr>
          <w:rFonts w:ascii="Georgia" w:eastAsia="Times New Roman" w:hAnsi="Georgia" w:cs="Arial"/>
          <w:sz w:val="20"/>
          <w:szCs w:val="18"/>
          <w:lang w:eastAsia="ru-RU" w:bidi="ru-RU"/>
        </w:rPr>
        <w:t>ии и ее</w:t>
      </w:r>
      <w:proofErr w:type="gramEnd"/>
      <w:r w:rsidRPr="005929AB">
        <w:rPr>
          <w:rFonts w:ascii="Georgia" w:eastAsia="Times New Roman" w:hAnsi="Georgia" w:cs="Arial"/>
          <w:sz w:val="20"/>
          <w:szCs w:val="18"/>
          <w:lang w:eastAsia="ru-RU" w:bidi="ru-RU"/>
        </w:rPr>
        <w:t xml:space="preserve"> дочерних предприятий за год, закончившийся 31 декабря 2014 года.</w:t>
      </w: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color w:val="000000"/>
          <w:sz w:val="20"/>
          <w:szCs w:val="18"/>
          <w:lang w:eastAsia="ru-RU" w:bidi="ru-RU"/>
        </w:rPr>
        <w:t>Георг К. Казамиас</w:t>
      </w: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color w:val="000000"/>
          <w:sz w:val="20"/>
          <w:szCs w:val="18"/>
          <w:lang w:eastAsia="ru-RU" w:bidi="ru-RU"/>
        </w:rPr>
        <w:t>Сертифицированный бухгалтер и зарегистрированный аудитор</w:t>
      </w: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color w:val="000000"/>
          <w:sz w:val="20"/>
          <w:szCs w:val="18"/>
          <w:lang w:eastAsia="ru-RU" w:bidi="ru-RU"/>
        </w:rPr>
        <w:t>от имени и по поручению</w:t>
      </w: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p>
    <w:p w:rsidR="005929AB" w:rsidRPr="005929AB" w:rsidRDefault="005929AB" w:rsidP="005929AB">
      <w:pPr>
        <w:widowControl w:val="0"/>
        <w:autoSpaceDE w:val="0"/>
        <w:autoSpaceDN w:val="0"/>
        <w:adjustRightInd w:val="0"/>
        <w:spacing w:after="0" w:line="240" w:lineRule="atLeast"/>
        <w:jc w:val="both"/>
        <w:rPr>
          <w:rFonts w:ascii="Georgia" w:eastAsia="Times New Roman" w:hAnsi="Georgia" w:cs="Arial"/>
          <w:color w:val="000000"/>
          <w:sz w:val="20"/>
          <w:szCs w:val="20"/>
          <w:lang w:eastAsia="ru-RU" w:bidi="ru-RU"/>
        </w:rPr>
      </w:pPr>
      <w:r w:rsidRPr="005929AB">
        <w:rPr>
          <w:rFonts w:ascii="Georgia" w:eastAsia="Times New Roman" w:hAnsi="Georgia" w:cs="Arial"/>
          <w:color w:val="000000"/>
          <w:sz w:val="20"/>
          <w:szCs w:val="18"/>
          <w:lang w:eastAsia="ru-RU" w:bidi="ru-RU"/>
        </w:rPr>
        <w:t>PricewaterhouseCoopers Limited</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Сертифицированные бухгалтеры и зарегистрированные аудиторы</w:t>
      </w: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p>
    <w:p w:rsidR="005929AB" w:rsidRPr="005929AB" w:rsidRDefault="005929AB" w:rsidP="005929AB">
      <w:pPr>
        <w:spacing w:after="0" w:line="240" w:lineRule="atLeast"/>
        <w:jc w:val="both"/>
        <w:rPr>
          <w:rFonts w:ascii="Georgia" w:eastAsia="Times New Roman" w:hAnsi="Georgia" w:cs="Times New Roman"/>
          <w:sz w:val="20"/>
          <w:szCs w:val="20"/>
          <w:lang w:eastAsia="ru-RU" w:bidi="ru-RU"/>
        </w:rPr>
      </w:pPr>
      <w:r w:rsidRPr="005929AB">
        <w:rPr>
          <w:rFonts w:ascii="Georgia" w:eastAsia="Times New Roman" w:hAnsi="Georgia" w:cs="Times New Roman"/>
          <w:sz w:val="20"/>
          <w:szCs w:val="20"/>
          <w:lang w:eastAsia="ru-RU" w:bidi="ru-RU"/>
        </w:rPr>
        <w:t>Никосия, 2 июля 2015 года</w:t>
      </w:r>
    </w:p>
    <w:p w:rsid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5929AB" w:rsidRDefault="005929AB"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sectPr w:rsidR="005929AB" w:rsidSect="00CB150F">
          <w:headerReference w:type="even" r:id="rId105"/>
          <w:headerReference w:type="default" r:id="rId106"/>
          <w:footerReference w:type="default" r:id="rId107"/>
          <w:headerReference w:type="first" r:id="rId108"/>
          <w:pgSz w:w="11952" w:h="16848"/>
          <w:pgMar w:top="1021" w:right="1190" w:bottom="1021" w:left="1418" w:header="720" w:footer="720" w:gutter="0"/>
          <w:cols w:space="720"/>
          <w:noEndnote/>
        </w:sectPr>
      </w:pPr>
    </w:p>
    <w:p w:rsidR="008D55DE" w:rsidRDefault="008D55DE"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p>
    <w:p w:rsidR="008D55DE" w:rsidRPr="008D55DE" w:rsidRDefault="009D3A70"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sectPr w:rsidR="008D55DE" w:rsidRPr="008D55DE" w:rsidSect="005929AB">
          <w:headerReference w:type="default" r:id="rId109"/>
          <w:type w:val="continuous"/>
          <w:pgSz w:w="11952" w:h="16848"/>
          <w:pgMar w:top="1021" w:right="1190" w:bottom="1021" w:left="1418" w:header="720" w:footer="720" w:gutter="0"/>
          <w:cols w:space="720"/>
          <w:noEndnote/>
        </w:sectPr>
      </w:pPr>
      <w:r>
        <w:rPr>
          <w:rFonts w:ascii="Tahoma" w:eastAsia="Times New Roman" w:hAnsi="Tahoma" w:cs="Tahoma"/>
          <w:noProof/>
          <w:color w:val="000000"/>
          <w:sz w:val="18"/>
          <w:szCs w:val="18"/>
          <w:lang w:eastAsia="ru-RU"/>
        </w:rPr>
        <w:drawing>
          <wp:inline distT="0" distB="0" distL="0" distR="0" wp14:anchorId="61DAF8F3" wp14:editId="288D6B8E">
            <wp:extent cx="5933440" cy="83927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 Stand-alone financial statements 2014-001.jpg"/>
                    <pic:cNvPicPr/>
                  </pic:nvPicPr>
                  <pic:blipFill>
                    <a:blip r:embed="rId110">
                      <a:extLst>
                        <a:ext uri="{28A0092B-C50C-407E-A947-70E740481C1C}">
                          <a14:useLocalDpi xmlns:a14="http://schemas.microsoft.com/office/drawing/2010/main" val="0"/>
                        </a:ext>
                      </a:extLst>
                    </a:blip>
                    <a:stretch>
                      <a:fillRect/>
                    </a:stretch>
                  </pic:blipFill>
                  <pic:spPr>
                    <a:xfrm>
                      <a:off x="0" y="0"/>
                      <a:ext cx="5933440" cy="8392795"/>
                    </a:xfrm>
                    <a:prstGeom prst="rect">
                      <a:avLst/>
                    </a:prstGeom>
                  </pic:spPr>
                </pic:pic>
              </a:graphicData>
            </a:graphic>
          </wp:inline>
        </w:drawing>
      </w:r>
      <w:r>
        <w:rPr>
          <w:rFonts w:ascii="Tahoma" w:eastAsia="Times New Roman" w:hAnsi="Tahoma" w:cs="Tahoma"/>
          <w:noProof/>
          <w:color w:val="000000"/>
          <w:sz w:val="18"/>
          <w:szCs w:val="18"/>
          <w:lang w:eastAsia="ru-RU"/>
        </w:rPr>
        <w:drawing>
          <wp:inline distT="0" distB="0" distL="0" distR="0" wp14:anchorId="5463E1EE" wp14:editId="16DF3BE8">
            <wp:extent cx="5933440" cy="83927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 Properties - Stand-alone financial statements 2014-002.jpg"/>
                    <pic:cNvPicPr/>
                  </pic:nvPicPr>
                  <pic:blipFill>
                    <a:blip r:embed="rId111">
                      <a:extLst>
                        <a:ext uri="{28A0092B-C50C-407E-A947-70E740481C1C}">
                          <a14:useLocalDpi xmlns:a14="http://schemas.microsoft.com/office/drawing/2010/main" val="0"/>
                        </a:ext>
                      </a:extLst>
                    </a:blip>
                    <a:stretch>
                      <a:fillRect/>
                    </a:stretch>
                  </pic:blipFill>
                  <pic:spPr>
                    <a:xfrm>
                      <a:off x="0" y="0"/>
                      <a:ext cx="5933440" cy="8392795"/>
                    </a:xfrm>
                    <a:prstGeom prst="rect">
                      <a:avLst/>
                    </a:prstGeom>
                  </pic:spPr>
                </pic:pic>
              </a:graphicData>
            </a:graphic>
          </wp:inline>
        </w:drawing>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 xml:space="preserve">ОТЧЕТ О СОВОКУПНОМ ДОХОДЕ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490" w:type="dxa"/>
        <w:tblInd w:w="39" w:type="dxa"/>
        <w:tblLayout w:type="fixed"/>
        <w:tblCellMar>
          <w:left w:w="39" w:type="dxa"/>
          <w:right w:w="39" w:type="dxa"/>
        </w:tblCellMar>
        <w:tblLook w:val="0000" w:firstRow="0" w:lastRow="0" w:firstColumn="0" w:lastColumn="0" w:noHBand="0" w:noVBand="0"/>
      </w:tblPr>
      <w:tblGrid>
        <w:gridCol w:w="5812"/>
        <w:gridCol w:w="709"/>
        <w:gridCol w:w="1586"/>
        <w:gridCol w:w="1383"/>
      </w:tblGrid>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w:t>
            </w: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w:t>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7,712,309</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13,269,215</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по дивидендам</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178,774,228</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248,200,573</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 от операций с финансовыми активами, оцениваемыми по справедливой стоимости, изменения которой отражаются в составе прибыли или убытка</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(354,843,926)</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(350,175,878)</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доходы</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3,625,911</w:t>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4,098,980</w:t>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Административные расходы</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(15,324,813)</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(14,494,400)</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расходы</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w:t>
            </w:r>
          </w:p>
        </w:tc>
        <w:tc>
          <w:tcPr>
            <w:tcW w:w="1586"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(2,395,483)</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(2,364,053)</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Операционные убытки</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(182,451,774)</w:t>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(101,465,563)</w:t>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расходы</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iCs/>
                <w:color w:val="000000"/>
                <w:sz w:val="18"/>
                <w:szCs w:val="18"/>
                <w:lang w:eastAsia="ru-RU" w:bidi="ru-RU"/>
              </w:rPr>
              <w:t>11</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(88,611,532)</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(20,447,485)</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Убыток до налогообложения</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 xml:space="preserve"> (271,063,306)</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(121,913,048)</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8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Налогообложение</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w:t>
            </w: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(13,843)</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(3,121)</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Чистый убыток за год </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(271,077,149)</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(121,916,169)</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Прочий совокупный доход</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162"/>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743CE5">
        <w:tc>
          <w:tcPr>
            <w:tcW w:w="58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Итого совокупный убыток за год </w:t>
            </w:r>
          </w:p>
        </w:tc>
        <w:tc>
          <w:tcPr>
            <w:tcW w:w="70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86"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(271,077,149)</w:t>
            </w:r>
            <w:r w:rsidRPr="00743CE5">
              <w:rPr>
                <w:rFonts w:ascii="Tahoma" w:eastAsia="Times New Roman" w:hAnsi="Tahoma" w:cs="Tahoma"/>
                <w:color w:val="000000"/>
                <w:sz w:val="18"/>
                <w:szCs w:val="18"/>
                <w:lang w:eastAsia="ru-RU" w:bidi="ru-RU"/>
              </w:rPr>
              <w:tab/>
            </w:r>
          </w:p>
        </w:tc>
        <w:tc>
          <w:tcPr>
            <w:tcW w:w="1383" w:type="dxa"/>
            <w:tcBorders>
              <w:top w:val="nil"/>
              <w:left w:val="nil"/>
              <w:bottom w:val="nil"/>
              <w:right w:val="nil"/>
            </w:tcBorders>
            <w:vAlign w:val="bottom"/>
          </w:tcPr>
          <w:p w:rsidR="00743CE5" w:rsidRPr="00743CE5" w:rsidRDefault="00743CE5" w:rsidP="00743CE5">
            <w:pPr>
              <w:widowControl w:val="0"/>
              <w:tabs>
                <w:tab w:val="right" w:pos="1277"/>
                <w:tab w:val="left" w:pos="130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(121,916,169)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center" w:pos="4672"/>
        </w:tabs>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12"/>
          <w:headerReference w:type="default" r:id="rId113"/>
          <w:footerReference w:type="default" r:id="rId114"/>
          <w:headerReference w:type="first" r:id="rId115"/>
          <w:pgSz w:w="11952" w:h="16848"/>
          <w:pgMar w:top="1021" w:right="1190" w:bottom="1021" w:left="1418" w:header="720" w:footer="720" w:gutter="0"/>
          <w:cols w:space="720"/>
          <w:noEndnote/>
        </w:sectPr>
      </w:pPr>
      <w:r w:rsidRPr="00743CE5">
        <w:rPr>
          <w:rFonts w:ascii="Tahoma" w:eastAsia="Times New Roman" w:hAnsi="Tahoma" w:cs="Tahoma"/>
          <w:color w:val="000000"/>
          <w:sz w:val="18"/>
          <w:szCs w:val="18"/>
          <w:lang w:eastAsia="ru-RU" w:bidi="ru-RU"/>
        </w:rPr>
        <w:tab/>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ОТЧЕТ О ФИНАНСОВОМ ПОЛОЖЕНИИ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На 31 декабря 2014 г.</w:t>
      </w:r>
    </w:p>
    <w:tbl>
      <w:tblPr>
        <w:tblW w:w="0" w:type="auto"/>
        <w:tblInd w:w="39" w:type="dxa"/>
        <w:tblLayout w:type="fixed"/>
        <w:tblCellMar>
          <w:left w:w="39" w:type="dxa"/>
          <w:right w:w="39" w:type="dxa"/>
        </w:tblCellMar>
        <w:tblLook w:val="0000" w:firstRow="0" w:lastRow="0" w:firstColumn="0" w:lastColumn="0" w:noHBand="0" w:noVBand="0"/>
      </w:tblPr>
      <w:tblGrid>
        <w:gridCol w:w="5845"/>
        <w:gridCol w:w="674"/>
        <w:gridCol w:w="1554"/>
        <w:gridCol w:w="1281"/>
      </w:tblGrid>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w:t>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АКТИВЫ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активы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866,860,654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1,461,239,672</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долгосрочным займам</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170,030,529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49,624,145</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1,036,891,183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1,510,863,817</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активы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21</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sz w:val="18"/>
                <w:szCs w:val="18"/>
                <w:lang w:eastAsia="ru-RU" w:bidi="ru-RU"/>
              </w:rPr>
              <w:t>461,033,766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277,678,022</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краткосрочным займам</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76,827,859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35,944,600</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658,548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658,548</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1,700,274</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2,027,023</w:t>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838,368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541,058,815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317,986,309</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активы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1,577,949,998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1,828,850,126</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КАПИТАЛ И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Капитал</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Акционерный капитал</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1,027,780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1,025,531</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Эмиссионный доход </w:t>
            </w:r>
            <w:r w:rsidRPr="00743CE5">
              <w:rPr>
                <w:rFonts w:ascii="Tahoma" w:eastAsia="Times New Roman" w:hAnsi="Tahoma" w:cs="Tahoma"/>
                <w:color w:val="000000"/>
                <w:sz w:val="18"/>
                <w:szCs w:val="18"/>
                <w:lang w:eastAsia="ru-RU" w:bidi="ru-RU"/>
              </w:rPr>
              <w:noBreakHyphen/>
              <w:t xml:space="preserve"> обыкновенные акции</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23</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1,065,790,799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1,065,790,799</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Взнос акционеров</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9,810,321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5,329,321</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Нераспределенная прибыль </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sz w:val="18"/>
                <w:szCs w:val="18"/>
                <w:u w:val="single"/>
                <w:lang w:eastAsia="ru-RU" w:bidi="ru-RU"/>
              </w:rPr>
              <w:t>143,130,120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498,722,085</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 капитал</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sz w:val="18"/>
                <w:szCs w:val="18"/>
                <w:u w:val="single"/>
                <w:lang w:eastAsia="ru-RU" w:bidi="ru-RU"/>
              </w:rPr>
              <w:t>1,219,759,020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390"/>
                <w:tab w:val="left" w:pos="1416"/>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1,570,867,736</w:t>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132,325,413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132,325,413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59,607,741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47,672,125</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24</w:t>
            </w:r>
          </w:p>
        </w:tc>
        <w:tc>
          <w:tcPr>
            <w:tcW w:w="1554" w:type="dxa"/>
            <w:tcBorders>
              <w:top w:val="nil"/>
              <w:left w:val="nil"/>
              <w:bottom w:val="nil"/>
              <w:right w:val="nil"/>
            </w:tcBorders>
            <w:vAlign w:val="bottom"/>
          </w:tcPr>
          <w:p w:rsidR="00743CE5" w:rsidRPr="00743CE5" w:rsidRDefault="00743CE5" w:rsidP="00743CE5">
            <w:pPr>
              <w:widowControl w:val="0"/>
              <w:tabs>
                <w:tab w:val="right" w:pos="1332"/>
                <w:tab w:val="left" w:pos="1473"/>
              </w:tabs>
              <w:autoSpaceDE w:val="0"/>
              <w:autoSpaceDN w:val="0"/>
              <w:adjustRightInd w:val="0"/>
              <w:spacing w:after="0" w:line="240" w:lineRule="auto"/>
              <w:jc w:val="center"/>
              <w:rPr>
                <w:rFonts w:ascii="Tahoma" w:eastAsia="Times New Roman" w:hAnsi="Tahoma" w:cs="Tahoma"/>
                <w:b/>
                <w:bCs/>
                <w:sz w:val="18"/>
                <w:szCs w:val="18"/>
                <w:lang w:eastAsia="ru-RU" w:bidi="ru-RU"/>
              </w:rPr>
            </w:pPr>
            <w:r w:rsidRPr="00743CE5">
              <w:rPr>
                <w:rFonts w:ascii="Tahoma" w:eastAsia="Times New Roman" w:hAnsi="Tahoma" w:cs="Tahoma"/>
                <w:b/>
                <w:color w:val="FF0000"/>
                <w:sz w:val="18"/>
                <w:szCs w:val="18"/>
                <w:lang w:eastAsia="ru-RU" w:bidi="ru-RU"/>
              </w:rPr>
              <w:t xml:space="preserve">   </w:t>
            </w:r>
            <w:r w:rsidRPr="00743CE5">
              <w:rPr>
                <w:rFonts w:ascii="Tahoma" w:eastAsia="Times New Roman" w:hAnsi="Tahoma" w:cs="Tahoma"/>
                <w:b/>
                <w:sz w:val="18"/>
                <w:szCs w:val="18"/>
                <w:lang w:eastAsia="ru-RU" w:bidi="ru-RU"/>
              </w:rPr>
              <w:t>160,663,959</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53,865,626</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19</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5,593,486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685,525</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налоговые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26</w:t>
            </w: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379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9,582</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225,865,565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102,232,858</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358,190,978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257,982,390</w:t>
            </w:r>
            <w:r w:rsidRPr="00743CE5">
              <w:rPr>
                <w:rFonts w:ascii="Tahoma" w:eastAsia="Times New Roman" w:hAnsi="Tahoma" w:cs="Tahoma"/>
                <w:color w:val="000000"/>
                <w:sz w:val="18"/>
                <w:szCs w:val="18"/>
                <w:lang w:eastAsia="ru-RU" w:bidi="ru-RU"/>
              </w:rPr>
              <w:tab/>
            </w: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584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Итого капитал и обязательства</w:t>
            </w:r>
          </w:p>
        </w:tc>
        <w:tc>
          <w:tcPr>
            <w:tcW w:w="67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4"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1,577,949,998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1,828,850,126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 июля 2015 года Совет директоров O1 Properties Limited утвердил данную финансовую отчетность к выпуску. </w:t>
      </w:r>
    </w:p>
    <w:tbl>
      <w:tblPr>
        <w:tblW w:w="14882" w:type="dxa"/>
        <w:tblInd w:w="45" w:type="dxa"/>
        <w:tblLayout w:type="fixed"/>
        <w:tblCellMar>
          <w:left w:w="45" w:type="dxa"/>
          <w:right w:w="45" w:type="dxa"/>
        </w:tblCellMar>
        <w:tblLook w:val="0000" w:firstRow="0" w:lastRow="0" w:firstColumn="0" w:lastColumn="0" w:noHBand="0" w:noVBand="0"/>
      </w:tblPr>
      <w:tblGrid>
        <w:gridCol w:w="3261"/>
        <w:gridCol w:w="1699"/>
        <w:gridCol w:w="1703"/>
        <w:gridCol w:w="3258"/>
        <w:gridCol w:w="994"/>
        <w:gridCol w:w="3967"/>
      </w:tblGrid>
      <w:tr w:rsidR="00743CE5" w:rsidRPr="00743CE5" w:rsidTr="00743CE5">
        <w:tc>
          <w:tcPr>
            <w:tcW w:w="4960"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961"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961"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743CE5">
        <w:trPr>
          <w:gridAfter w:val="1"/>
          <w:wAfter w:w="3967" w:type="dxa"/>
        </w:trPr>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340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425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rPr>
          <w:gridAfter w:val="1"/>
          <w:wAfter w:w="3967" w:type="dxa"/>
        </w:trPr>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Дмитрий Минц</w:t>
            </w:r>
          </w:p>
        </w:tc>
        <w:tc>
          <w:tcPr>
            <w:tcW w:w="340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Александр Островский</w:t>
            </w:r>
          </w:p>
        </w:tc>
        <w:tc>
          <w:tcPr>
            <w:tcW w:w="425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Томаш Замиара</w:t>
            </w:r>
          </w:p>
        </w:tc>
      </w:tr>
      <w:tr w:rsidR="00743CE5" w:rsidRPr="00743CE5" w:rsidTr="00743CE5">
        <w:trPr>
          <w:gridAfter w:val="1"/>
          <w:wAfter w:w="3967" w:type="dxa"/>
        </w:trPr>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c>
          <w:tcPr>
            <w:tcW w:w="340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c>
          <w:tcPr>
            <w:tcW w:w="4252" w:type="dxa"/>
            <w:gridSpan w:val="2"/>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Директор</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16"/>
          <w:headerReference w:type="default" r:id="rId117"/>
          <w:footerReference w:type="default" r:id="rId118"/>
          <w:headerReference w:type="first" r:id="rId119"/>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ОТЧЕТ ОБ ИЗМЕНЕНИЯХ В КАПИТАЛЕ</w:t>
      </w:r>
      <w:r w:rsidRPr="00743CE5">
        <w:rPr>
          <w:rFonts w:ascii="Tahoma" w:eastAsia="Times New Roman" w:hAnsi="Tahoma" w:cs="Tahoma"/>
          <w:color w:val="000000"/>
          <w:sz w:val="18"/>
          <w:szCs w:val="2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10431" w:type="dxa"/>
        <w:tblInd w:w="39" w:type="dxa"/>
        <w:tblLayout w:type="fixed"/>
        <w:tblCellMar>
          <w:left w:w="39" w:type="dxa"/>
          <w:right w:w="39" w:type="dxa"/>
        </w:tblCellMar>
        <w:tblLook w:val="0000" w:firstRow="0" w:lastRow="0" w:firstColumn="0" w:lastColumn="0" w:noHBand="0" w:noVBand="0"/>
      </w:tblPr>
      <w:tblGrid>
        <w:gridCol w:w="1700"/>
        <w:gridCol w:w="459"/>
        <w:gridCol w:w="953"/>
        <w:gridCol w:w="1122"/>
        <w:gridCol w:w="1327"/>
        <w:gridCol w:w="1327"/>
        <w:gridCol w:w="1139"/>
        <w:gridCol w:w="1123"/>
        <w:gridCol w:w="1281"/>
      </w:tblGrid>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Акционерный капитал</w:t>
            </w: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Погашаемые привилегированные акции</w:t>
            </w: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Эмиссионный доход </w:t>
            </w:r>
            <w:r w:rsidRPr="00AB2499">
              <w:rPr>
                <w:rFonts w:ascii="Tahoma" w:eastAsia="Times New Roman" w:hAnsi="Tahoma" w:cs="Tahoma"/>
                <w:color w:val="000000"/>
                <w:sz w:val="14"/>
                <w:szCs w:val="14"/>
                <w:lang w:eastAsia="ru-RU" w:bidi="ru-RU"/>
              </w:rPr>
              <w:noBreakHyphen/>
              <w:t xml:space="preserve"> обыкновенные акции</w:t>
            </w: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Эмиссионный доход </w:t>
            </w:r>
            <w:r w:rsidRPr="00AB2499">
              <w:rPr>
                <w:rFonts w:ascii="Tahoma" w:eastAsia="Times New Roman" w:hAnsi="Tahoma" w:cs="Tahoma"/>
                <w:color w:val="000000"/>
                <w:sz w:val="14"/>
                <w:szCs w:val="14"/>
                <w:lang w:eastAsia="ru-RU" w:bidi="ru-RU"/>
              </w:rPr>
              <w:noBreakHyphen/>
              <w:t xml:space="preserve"> погашаемые привилегированные акции</w:t>
            </w: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Резерв по </w:t>
            </w:r>
            <w:bookmarkStart w:id="53" w:name="_GoBack"/>
            <w:bookmarkEnd w:id="53"/>
            <w:r w:rsidRPr="00AB2499">
              <w:rPr>
                <w:rFonts w:ascii="Tahoma" w:eastAsia="Times New Roman" w:hAnsi="Tahoma" w:cs="Tahoma"/>
                <w:color w:val="000000"/>
                <w:sz w:val="14"/>
                <w:szCs w:val="14"/>
                <w:lang w:eastAsia="ru-RU" w:bidi="ru-RU"/>
              </w:rPr>
              <w:t>выплатам, основанным на акциях</w:t>
            </w: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Нераспределенная прибыль (1)</w:t>
            </w: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Итого</w:t>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Прим.</w:t>
            </w: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4"/>
                <w:szCs w:val="14"/>
                <w:lang w:eastAsia="ru-RU" w:bidi="ru-RU"/>
              </w:rPr>
            </w:pPr>
            <w:r w:rsidRPr="00AB2499">
              <w:rPr>
                <w:rFonts w:ascii="Tahoma" w:eastAsia="Times New Roman" w:hAnsi="Tahoma" w:cs="Tahoma"/>
                <w:b/>
                <w:bCs/>
                <w:color w:val="000000"/>
                <w:sz w:val="14"/>
                <w:szCs w:val="14"/>
                <w:lang w:eastAsia="ru-RU" w:bidi="ru-RU"/>
              </w:rPr>
              <w:t>долл. США</w:t>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 xml:space="preserve">Остаток на 1 января 2013 года </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tabs>
                <w:tab w:val="right" w:pos="845"/>
                <w:tab w:val="left" w:pos="87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667,804</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168</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471,245,927</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167,899,832</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673,194,464</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1,313,008,195</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Совокупный убыток</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Чистый убыток за год</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(121,916,169)</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(121,916,169)</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Операции с владельцами</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Выпуск акционерного капитала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845"/>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357,357</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202</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224,645,242</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201,999,798</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427,002,599</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Погашение привилегированных акций</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370</w:t>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p>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(370)</w:t>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369,899,630</w:t>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(369,899,630)</w:t>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Дивиденды</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13</w:t>
            </w: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(52,556,210)</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(52,556,210)</w:t>
            </w:r>
            <w:r w:rsidRPr="00AB2499">
              <w:rPr>
                <w:rFonts w:ascii="Tahoma" w:eastAsia="Times New Roman" w:hAnsi="Tahoma" w:cs="Tahoma"/>
                <w:color w:val="000000"/>
                <w:sz w:val="14"/>
                <w:szCs w:val="14"/>
                <w:lang w:eastAsia="ru-RU" w:bidi="ru-RU"/>
              </w:rPr>
              <w:tab/>
            </w:r>
          </w:p>
        </w:tc>
      </w:tr>
      <w:tr w:rsidR="00743CE5" w:rsidRPr="00AB2499" w:rsidTr="00743CE5">
        <w:trPr>
          <w:trHeight w:val="353"/>
        </w:trPr>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Выпуск акций для высшего руководства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center"/>
              <w:rPr>
                <w:rFonts w:ascii="Tahoma" w:eastAsia="Times New Roman" w:hAnsi="Tahoma" w:cs="Tahoma"/>
                <w:color w:val="000000"/>
                <w:sz w:val="14"/>
                <w:szCs w:val="14"/>
                <w:u w:val="single"/>
                <w:lang w:eastAsia="ru-RU" w:bidi="ru-RU"/>
              </w:rPr>
            </w:pPr>
            <w:r w:rsidRPr="00AB2499">
              <w:rPr>
                <w:rFonts w:ascii="Tahoma" w:eastAsia="Times New Roman" w:hAnsi="Tahoma" w:cs="Tahoma"/>
                <w:color w:val="000000"/>
                <w:sz w:val="14"/>
                <w:szCs w:val="14"/>
                <w:u w:val="single"/>
                <w:lang w:eastAsia="ru-RU" w:bidi="ru-RU"/>
              </w:rPr>
              <w:t xml:space="preserve">    5,329,321</w:t>
            </w:r>
          </w:p>
        </w:tc>
        <w:tc>
          <w:tcPr>
            <w:tcW w:w="112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5,329,321</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p>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Остаток на 31 декабря 2013 года / 1 января 2014 года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tabs>
                <w:tab w:val="right" w:pos="845"/>
                <w:tab w:val="left" w:pos="87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1,025,531</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1,065,790,799</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5,329,321</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498,722,085</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lang w:eastAsia="ru-RU" w:bidi="ru-RU"/>
              </w:rPr>
              <w:t>1,570,867,736</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rPr>
                <w:rFonts w:ascii="Arial" w:eastAsia="Times New Roman" w:hAnsi="Arial" w:cs="Arial"/>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Совокупный убыток</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Чистый убыток за год</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(271,077,149)</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u w:val="single"/>
                <w:lang w:eastAsia="ru-RU" w:bidi="ru-RU"/>
              </w:rPr>
              <w:t>(271,077,149)</w:t>
            </w: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lang w:eastAsia="ru-RU" w:bidi="ru-RU"/>
              </w:rPr>
              <w:t>Операции с владельцами</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2"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327"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3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123"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c>
          <w:tcPr>
            <w:tcW w:w="1281"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right"/>
              <w:rPr>
                <w:rFonts w:ascii="Tahoma" w:eastAsia="Times New Roman" w:hAnsi="Tahoma" w:cs="Tahoma"/>
                <w:color w:val="000000"/>
                <w:sz w:val="14"/>
                <w:szCs w:val="14"/>
                <w:lang w:eastAsia="ru-RU" w:bidi="ru-RU"/>
              </w:rPr>
            </w:pP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Дополнительный выпуск обыкновенных акций (акции класса В) 17 апреля 2014 года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     1,227 </w:t>
            </w:r>
            <w:r w:rsidRPr="00AB2499">
              <w:rPr>
                <w:rFonts w:ascii="Tahoma" w:eastAsia="Times New Roman" w:hAnsi="Tahoma" w:cs="Tahoma"/>
                <w:color w:val="000000"/>
                <w:sz w:val="14"/>
                <w:szCs w:val="14"/>
                <w:lang w:eastAsia="ru-RU" w:bidi="ru-RU"/>
              </w:rPr>
              <w:tab/>
              <w:t>-</w:t>
            </w:r>
          </w:p>
        </w:tc>
        <w:tc>
          <w:tcPr>
            <w:tcW w:w="1122"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           1,227</w:t>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Дополнительный выпуск обыкновенных акций (акции класса В) 1 января 2014 года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     1,022 </w:t>
            </w:r>
            <w:r w:rsidRPr="00AB2499">
              <w:rPr>
                <w:rFonts w:ascii="Tahoma" w:eastAsia="Times New Roman" w:hAnsi="Tahoma" w:cs="Tahoma"/>
                <w:color w:val="000000"/>
                <w:sz w:val="14"/>
                <w:szCs w:val="14"/>
                <w:lang w:eastAsia="ru-RU" w:bidi="ru-RU"/>
              </w:rPr>
              <w:tab/>
              <w:t>-</w:t>
            </w:r>
          </w:p>
        </w:tc>
        <w:tc>
          <w:tcPr>
            <w:tcW w:w="1122"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 xml:space="preserve">           1,022</w:t>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Дивиденды</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13</w:t>
            </w: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w:t>
            </w:r>
            <w:r w:rsidRPr="00AB2499">
              <w:rPr>
                <w:rFonts w:ascii="Tahoma" w:eastAsia="Times New Roman" w:hAnsi="Tahoma" w:cs="Tahoma"/>
                <w:color w:val="000000"/>
                <w:sz w:val="14"/>
                <w:szCs w:val="14"/>
                <w:lang w:eastAsia="ru-RU" w:bidi="ru-RU"/>
              </w:rPr>
              <w:tab/>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(84,514,816)</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t>(84,514,816)</w:t>
            </w:r>
            <w:r w:rsidRPr="00AB2499">
              <w:rPr>
                <w:rFonts w:ascii="Tahoma" w:eastAsia="Times New Roman" w:hAnsi="Tahoma" w:cs="Tahoma"/>
                <w:color w:val="000000"/>
                <w:sz w:val="14"/>
                <w:szCs w:val="14"/>
                <w:lang w:eastAsia="ru-RU" w:bidi="ru-RU"/>
              </w:rPr>
              <w:tab/>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Выпуск акций для высшего руководства</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23</w:t>
            </w:r>
          </w:p>
        </w:tc>
        <w:tc>
          <w:tcPr>
            <w:tcW w:w="95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u w:val="single"/>
                <w:lang w:eastAsia="ru-RU" w:bidi="ru-RU"/>
              </w:rPr>
              <w:t xml:space="preserve">   </w:t>
            </w: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917"/>
                <w:tab w:val="left" w:pos="1058"/>
              </w:tabs>
              <w:autoSpaceDE w:val="0"/>
              <w:autoSpaceDN w:val="0"/>
              <w:adjustRightInd w:val="0"/>
              <w:spacing w:after="0" w:line="240" w:lineRule="auto"/>
              <w:jc w:val="center"/>
              <w:rPr>
                <w:rFonts w:ascii="Tahoma" w:eastAsia="Times New Roman" w:hAnsi="Tahoma" w:cs="Tahoma"/>
                <w:color w:val="000000"/>
                <w:sz w:val="14"/>
                <w:szCs w:val="14"/>
                <w:u w:val="single"/>
                <w:lang w:eastAsia="ru-RU" w:bidi="ru-RU"/>
              </w:rPr>
            </w:pPr>
            <w:r w:rsidRPr="00AB2499">
              <w:rPr>
                <w:rFonts w:ascii="Tahoma" w:eastAsia="Times New Roman" w:hAnsi="Tahoma" w:cs="Tahoma"/>
                <w:color w:val="000000"/>
                <w:sz w:val="14"/>
                <w:szCs w:val="14"/>
                <w:u w:val="single"/>
                <w:lang w:eastAsia="ru-RU" w:bidi="ru-RU"/>
              </w:rPr>
              <w:t xml:space="preserve">    4,481,000</w:t>
            </w:r>
          </w:p>
        </w:tc>
        <w:tc>
          <w:tcPr>
            <w:tcW w:w="1123" w:type="dxa"/>
            <w:tcBorders>
              <w:top w:val="nil"/>
              <w:left w:val="nil"/>
              <w:bottom w:val="nil"/>
              <w:right w:val="nil"/>
            </w:tcBorders>
            <w:vAlign w:val="bottom"/>
          </w:tcPr>
          <w:p w:rsidR="00743CE5" w:rsidRPr="00AB2499" w:rsidRDefault="00743CE5" w:rsidP="00743CE5">
            <w:pPr>
              <w:widowControl w:val="0"/>
              <w:tabs>
                <w:tab w:val="right" w:pos="730"/>
                <w:tab w:val="left" w:pos="871"/>
              </w:tabs>
              <w:autoSpaceDE w:val="0"/>
              <w:autoSpaceDN w:val="0"/>
              <w:adjustRightInd w:val="0"/>
              <w:spacing w:after="0" w:line="240" w:lineRule="auto"/>
              <w:jc w:val="right"/>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color w:val="000000"/>
                <w:sz w:val="14"/>
                <w:szCs w:val="14"/>
                <w:u w:val="single"/>
                <w:lang w:eastAsia="ru-RU" w:bidi="ru-RU"/>
              </w:rPr>
              <w:t>-</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center"/>
              <w:rPr>
                <w:rFonts w:ascii="Tahoma" w:eastAsia="Times New Roman" w:hAnsi="Tahoma" w:cs="Tahoma"/>
                <w:color w:val="000000"/>
                <w:sz w:val="14"/>
                <w:szCs w:val="14"/>
                <w:lang w:eastAsia="ru-RU" w:bidi="ru-RU"/>
              </w:rPr>
            </w:pPr>
            <w:r w:rsidRPr="00AB2499">
              <w:rPr>
                <w:rFonts w:ascii="Tahoma" w:eastAsia="Times New Roman" w:hAnsi="Tahoma" w:cs="Tahoma"/>
                <w:color w:val="000000"/>
                <w:sz w:val="14"/>
                <w:szCs w:val="14"/>
                <w:u w:val="single"/>
                <w:lang w:eastAsia="ru-RU" w:bidi="ru-RU"/>
              </w:rPr>
              <w:t xml:space="preserve">      4,481,000</w:t>
            </w:r>
          </w:p>
        </w:tc>
      </w:tr>
      <w:tr w:rsidR="00743CE5" w:rsidRPr="00AB2499" w:rsidTr="00743CE5">
        <w:tc>
          <w:tcPr>
            <w:tcW w:w="1700" w:type="dxa"/>
            <w:tcBorders>
              <w:top w:val="nil"/>
              <w:left w:val="nil"/>
              <w:bottom w:val="nil"/>
              <w:right w:val="nil"/>
            </w:tcBorders>
          </w:tcPr>
          <w:p w:rsidR="00743CE5" w:rsidRPr="00AB2499" w:rsidRDefault="00743CE5" w:rsidP="00743CE5">
            <w:pPr>
              <w:widowControl w:val="0"/>
              <w:autoSpaceDE w:val="0"/>
              <w:autoSpaceDN w:val="0"/>
              <w:adjustRightInd w:val="0"/>
              <w:spacing w:after="0" w:line="240" w:lineRule="auto"/>
              <w:rPr>
                <w:rFonts w:ascii="Tahoma" w:eastAsia="Times New Roman" w:hAnsi="Tahoma" w:cs="Tahoma"/>
                <w:color w:val="000000"/>
                <w:sz w:val="14"/>
                <w:szCs w:val="14"/>
                <w:lang w:eastAsia="ru-RU" w:bidi="ru-RU"/>
              </w:rPr>
            </w:pPr>
            <w:r w:rsidRPr="00AB2499">
              <w:rPr>
                <w:rFonts w:ascii="Tahoma" w:eastAsia="Times New Roman" w:hAnsi="Tahoma" w:cs="Tahoma"/>
                <w:b/>
                <w:color w:val="000000"/>
                <w:sz w:val="14"/>
                <w:szCs w:val="14"/>
                <w:lang w:eastAsia="ru-RU" w:bidi="ru-RU"/>
              </w:rPr>
              <w:t>Остаток на 31 декабря 2014 г.</w:t>
            </w:r>
          </w:p>
        </w:tc>
        <w:tc>
          <w:tcPr>
            <w:tcW w:w="459" w:type="dxa"/>
            <w:tcBorders>
              <w:top w:val="nil"/>
              <w:left w:val="nil"/>
              <w:bottom w:val="nil"/>
              <w:right w:val="nil"/>
            </w:tcBorders>
            <w:vAlign w:val="bottom"/>
          </w:tcPr>
          <w:p w:rsidR="00743CE5" w:rsidRPr="00AB2499" w:rsidRDefault="00743CE5" w:rsidP="00743CE5">
            <w:pPr>
              <w:widowControl w:val="0"/>
              <w:autoSpaceDE w:val="0"/>
              <w:autoSpaceDN w:val="0"/>
              <w:adjustRightInd w:val="0"/>
              <w:spacing w:after="0" w:line="240" w:lineRule="auto"/>
              <w:jc w:val="center"/>
              <w:rPr>
                <w:rFonts w:ascii="Tahoma" w:eastAsia="Times New Roman" w:hAnsi="Tahoma" w:cs="Tahoma"/>
                <w:color w:val="000000"/>
                <w:sz w:val="14"/>
                <w:szCs w:val="14"/>
                <w:lang w:eastAsia="ru-RU" w:bidi="ru-RU"/>
              </w:rPr>
            </w:pPr>
          </w:p>
        </w:tc>
        <w:tc>
          <w:tcPr>
            <w:tcW w:w="953" w:type="dxa"/>
            <w:tcBorders>
              <w:top w:val="nil"/>
              <w:left w:val="nil"/>
              <w:bottom w:val="nil"/>
              <w:right w:val="nil"/>
            </w:tcBorders>
            <w:vAlign w:val="bottom"/>
          </w:tcPr>
          <w:p w:rsidR="00743CE5" w:rsidRPr="00AB2499" w:rsidRDefault="00743CE5" w:rsidP="00743CE5">
            <w:pPr>
              <w:widowControl w:val="0"/>
              <w:tabs>
                <w:tab w:val="right" w:pos="845"/>
                <w:tab w:val="left" w:pos="871"/>
              </w:tabs>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u w:val="double"/>
                <w:lang w:eastAsia="ru-RU" w:bidi="ru-RU"/>
              </w:rPr>
              <w:t>1,027,780</w:t>
            </w:r>
          </w:p>
        </w:tc>
        <w:tc>
          <w:tcPr>
            <w:tcW w:w="1122" w:type="dxa"/>
            <w:tcBorders>
              <w:top w:val="nil"/>
              <w:left w:val="nil"/>
              <w:bottom w:val="nil"/>
              <w:right w:val="nil"/>
            </w:tcBorders>
            <w:vAlign w:val="bottom"/>
          </w:tcPr>
          <w:p w:rsidR="00743CE5" w:rsidRPr="00AB2499" w:rsidRDefault="00743CE5" w:rsidP="00743CE5">
            <w:pPr>
              <w:widowControl w:val="0"/>
              <w:tabs>
                <w:tab w:val="right" w:pos="900"/>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u w:val="double"/>
                <w:lang w:eastAsia="ru-RU" w:bidi="ru-RU"/>
              </w:rPr>
              <w:t>-</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219"/>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u w:val="double"/>
                <w:lang w:eastAsia="ru-RU" w:bidi="ru-RU"/>
              </w:rPr>
              <w:t>1,065,790,799</w:t>
            </w:r>
            <w:r w:rsidRPr="00AB2499">
              <w:rPr>
                <w:rFonts w:ascii="Tahoma" w:eastAsia="Times New Roman" w:hAnsi="Tahoma" w:cs="Tahoma"/>
                <w:color w:val="000000"/>
                <w:sz w:val="14"/>
                <w:szCs w:val="14"/>
                <w:lang w:eastAsia="ru-RU" w:bidi="ru-RU"/>
              </w:rPr>
              <w:tab/>
            </w:r>
          </w:p>
        </w:tc>
        <w:tc>
          <w:tcPr>
            <w:tcW w:w="1327" w:type="dxa"/>
            <w:tcBorders>
              <w:top w:val="nil"/>
              <w:left w:val="nil"/>
              <w:bottom w:val="nil"/>
              <w:right w:val="nil"/>
            </w:tcBorders>
            <w:vAlign w:val="bottom"/>
          </w:tcPr>
          <w:p w:rsidR="00743CE5" w:rsidRPr="00AB2499" w:rsidRDefault="00743CE5" w:rsidP="00743CE5">
            <w:pPr>
              <w:widowControl w:val="0"/>
              <w:tabs>
                <w:tab w:val="right" w:pos="1104"/>
                <w:tab w:val="left" w:pos="1245"/>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u w:val="double"/>
                <w:lang w:eastAsia="ru-RU" w:bidi="ru-RU"/>
              </w:rPr>
              <w:t>-</w:t>
            </w:r>
            <w:r w:rsidRPr="00AB2499">
              <w:rPr>
                <w:rFonts w:ascii="Tahoma" w:eastAsia="Times New Roman" w:hAnsi="Tahoma" w:cs="Tahoma"/>
                <w:color w:val="000000"/>
                <w:sz w:val="14"/>
                <w:szCs w:val="14"/>
                <w:lang w:eastAsia="ru-RU" w:bidi="ru-RU"/>
              </w:rPr>
              <w:tab/>
            </w:r>
          </w:p>
        </w:tc>
        <w:tc>
          <w:tcPr>
            <w:tcW w:w="1139" w:type="dxa"/>
            <w:tcBorders>
              <w:top w:val="nil"/>
              <w:left w:val="nil"/>
              <w:bottom w:val="nil"/>
              <w:right w:val="nil"/>
            </w:tcBorders>
            <w:vAlign w:val="bottom"/>
          </w:tcPr>
          <w:p w:rsidR="00743CE5" w:rsidRPr="00AB2499" w:rsidRDefault="00743CE5" w:rsidP="00743CE5">
            <w:pPr>
              <w:widowControl w:val="0"/>
              <w:tabs>
                <w:tab w:val="right" w:pos="1032"/>
                <w:tab w:val="left" w:pos="1058"/>
              </w:tabs>
              <w:autoSpaceDE w:val="0"/>
              <w:autoSpaceDN w:val="0"/>
              <w:adjustRightInd w:val="0"/>
              <w:spacing w:after="0" w:line="240" w:lineRule="auto"/>
              <w:jc w:val="center"/>
              <w:rPr>
                <w:rFonts w:ascii="Tahoma" w:eastAsia="Times New Roman" w:hAnsi="Tahoma" w:cs="Tahoma"/>
                <w:b/>
                <w:bCs/>
                <w:color w:val="000000"/>
                <w:sz w:val="14"/>
                <w:szCs w:val="14"/>
                <w:lang w:eastAsia="ru-RU" w:bidi="ru-RU"/>
              </w:rPr>
            </w:pPr>
            <w:r w:rsidRPr="00AB2499">
              <w:rPr>
                <w:rFonts w:ascii="Tahoma" w:eastAsia="Times New Roman" w:hAnsi="Tahoma" w:cs="Tahoma"/>
                <w:b/>
                <w:color w:val="000000"/>
                <w:sz w:val="14"/>
                <w:szCs w:val="14"/>
                <w:u w:val="double"/>
                <w:lang w:eastAsia="ru-RU" w:bidi="ru-RU"/>
              </w:rPr>
              <w:t xml:space="preserve">   9.810.321</w:t>
            </w:r>
          </w:p>
        </w:tc>
        <w:tc>
          <w:tcPr>
            <w:tcW w:w="1123" w:type="dxa"/>
            <w:tcBorders>
              <w:top w:val="nil"/>
              <w:left w:val="nil"/>
              <w:bottom w:val="nil"/>
              <w:right w:val="nil"/>
            </w:tcBorders>
            <w:vAlign w:val="bottom"/>
          </w:tcPr>
          <w:p w:rsidR="00743CE5" w:rsidRPr="00AB2499" w:rsidRDefault="00743CE5" w:rsidP="00743CE5">
            <w:pPr>
              <w:widowControl w:val="0"/>
              <w:tabs>
                <w:tab w:val="right" w:pos="1015"/>
                <w:tab w:val="left" w:pos="1041"/>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u w:val="double"/>
                <w:lang w:eastAsia="ru-RU" w:bidi="ru-RU"/>
              </w:rPr>
              <w:t>143,130,120</w:t>
            </w:r>
            <w:r w:rsidRPr="00AB2499">
              <w:rPr>
                <w:rFonts w:ascii="Tahoma" w:eastAsia="Times New Roman" w:hAnsi="Tahoma" w:cs="Tahoma"/>
                <w:color w:val="000000"/>
                <w:sz w:val="14"/>
                <w:szCs w:val="14"/>
                <w:lang w:eastAsia="ru-RU" w:bidi="ru-RU"/>
              </w:rPr>
              <w:tab/>
            </w:r>
          </w:p>
        </w:tc>
        <w:tc>
          <w:tcPr>
            <w:tcW w:w="1281" w:type="dxa"/>
            <w:tcBorders>
              <w:top w:val="nil"/>
              <w:left w:val="nil"/>
              <w:bottom w:val="nil"/>
              <w:right w:val="nil"/>
            </w:tcBorders>
            <w:vAlign w:val="bottom"/>
          </w:tcPr>
          <w:p w:rsidR="00743CE5" w:rsidRPr="00AB2499"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4"/>
                <w:szCs w:val="14"/>
                <w:lang w:eastAsia="ru-RU" w:bidi="ru-RU"/>
              </w:rPr>
            </w:pPr>
            <w:r w:rsidRPr="00AB2499">
              <w:rPr>
                <w:rFonts w:ascii="Tahoma" w:eastAsia="Times New Roman" w:hAnsi="Tahoma" w:cs="Tahoma"/>
                <w:color w:val="000000"/>
                <w:sz w:val="14"/>
                <w:szCs w:val="14"/>
                <w:lang w:eastAsia="ru-RU" w:bidi="ru-RU"/>
              </w:rPr>
              <w:tab/>
            </w:r>
            <w:r w:rsidRPr="00AB2499">
              <w:rPr>
                <w:rFonts w:ascii="Tahoma" w:eastAsia="Times New Roman" w:hAnsi="Tahoma" w:cs="Tahoma"/>
                <w:b/>
                <w:color w:val="000000"/>
                <w:sz w:val="14"/>
                <w:szCs w:val="14"/>
                <w:u w:val="double"/>
                <w:lang w:eastAsia="ru-RU" w:bidi="ru-RU"/>
              </w:rPr>
              <w:t>1,219,759,020</w:t>
            </w:r>
            <w:r w:rsidRPr="00AB2499">
              <w:rPr>
                <w:rFonts w:ascii="Tahoma" w:eastAsia="Times New Roman" w:hAnsi="Tahoma" w:cs="Tahoma"/>
                <w:color w:val="000000"/>
                <w:sz w:val="14"/>
                <w:szCs w:val="14"/>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w:t>
      </w:r>
      <w:r w:rsidRPr="00743CE5">
        <w:rPr>
          <w:rFonts w:ascii="Tahoma" w:eastAsia="Times New Roman" w:hAnsi="Tahoma" w:cs="Tahoma"/>
          <w:color w:val="000000"/>
          <w:sz w:val="18"/>
          <w:szCs w:val="18"/>
          <w:lang w:eastAsia="ru-RU" w:bidi="ru-RU"/>
        </w:rPr>
        <w:tab/>
        <w:t xml:space="preserve">Компании, не распределяющие 70% своей прибыли после налогообложения (как установлено Законом о специальном сборе на оборону Республики) к концу двухлетнего периода после окончания рассматриваемого года, к которому относится такая прибыль, будут рассматриваться как распределившие эту сумму в форме дивидендов. Специальный сбор на оборону по ставке 15% подлежит выплате с суммы указанного выше условного дивиденда в случае, если акционеры для условного распределения дивидендов по состоянию на конец двухлетнего периода после окончания рассматриваемого года, к которому относится такая прибыль, являются налоговыми резидентами Кипра. Ставка специального сбора на оборону повысилась до 17% в отношении прибыли за 2009 год и до 20% в отношении прибыли за 2010 и 2011 годы и была обратно снижена до 17% в отношении прибыли за 2012 год и далее. Сумма такого условного распределения дивидендов снижается на сумму дивидендов, фактически выплаченных из прибыли соответствующего года к концу двухлетнего периода после окончания рассматриваемого года, к которому относится такая прибыль. Данный специальный сбор на оборону Компании выплачивается за счет акционеров.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 xml:space="preserve">ОТЧЕТ О ДВИЖЕНИИ ДЕНЕЖНЫХ СРЕДСТВ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105"/>
        <w:gridCol w:w="416"/>
        <w:gridCol w:w="1557"/>
        <w:gridCol w:w="1281"/>
      </w:tblGrid>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w:t>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Прим.</w:t>
            </w: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ОПЕРАЦИОННОЙ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до налогообложения</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(271,063,306)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(121,913,048)</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Корректировки </w:t>
            </w:r>
            <w:proofErr w:type="gramStart"/>
            <w:r w:rsidRPr="00743CE5">
              <w:rPr>
                <w:rFonts w:ascii="Tahoma" w:eastAsia="Times New Roman" w:hAnsi="Tahoma" w:cs="Tahoma"/>
                <w:color w:val="000000"/>
                <w:sz w:val="18"/>
                <w:szCs w:val="18"/>
                <w:lang w:eastAsia="ru-RU" w:bidi="ru-RU"/>
              </w:rPr>
              <w:t>на</w:t>
            </w:r>
            <w:proofErr w:type="gramEnd"/>
            <w:r w:rsidRPr="00743CE5">
              <w:rPr>
                <w:rFonts w:ascii="Tahoma" w:eastAsia="Times New Roman" w:hAnsi="Tahoma" w:cs="Tahoma"/>
                <w:color w:val="000000"/>
                <w:sz w:val="18"/>
                <w:szCs w:val="18"/>
                <w:lang w:eastAsia="ru-RU" w:bidi="ru-RU"/>
              </w:rPr>
              <w:t>:</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 от выбытия финансовых активов, оцениваемых по справедливой стоимости, изменения которой отражаются в составе прибыли или убытка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87,615,619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15,118,055</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Убыток/(прибыль) от изменения справедливой стоимости производных финансовых инструментов</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1,577,533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(5,473,917)</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265,650,774</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340,531,740</w:t>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основанное на акциях</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4,481,000</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5,329,321</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по дивидендам</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(178,774,228)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(248,200,573)</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w:t>
            </w: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(7,712,309)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(13,269,215)</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Отрицательная/(положительная) курсовая разница </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263,255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(3,865,151)</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расходы по заемным средствам</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w:t>
            </w: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104,602,932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27,640,555</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полученные от/(использованные в) операционной деятельности до изменения оборотного капитала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6,641,270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(4,102,233)</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Прирост дебиторской задолженности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(23,601,491)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(31,161,325)</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Прирост торговой и прочей кредиторской задолженности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10,904,495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163,559</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использованные в операционной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(6,055,726)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(35,099,999)</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Налоги уплаченные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(6,736)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(655)</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Чистые денежные средства, использованные в операционной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(6,062,462)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(35,100,654)</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ИНВЕСТИЦИОННОЙ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Оплата приобретенных финансовых активов, оцениваемых по справедливой стоимости, изменения которой отражаются в составе прибыли или убытка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(16,030,187)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(26,145,242)</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выданные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(251,688,295)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(278 341 451)</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Погашение займов выданных</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72,754,742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304,294,156</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 от продажи инвестиций в финансовые активы, оцениваемые по справедливой стоимости, изменения которой отражаются в составе прибыли или убытка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14,700,000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89,158,466</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 полученные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1,032,127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18,057,121</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полученные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45,389,912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703,530</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Чистые денежные средства, полученные от инвестиционной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(133,841,701)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107,726,580</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ДЕНЕЖНЫЕ СРЕДСТВА ОТ ФИНАНСОВОЙ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 от выпуска акций</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200,000,000</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заемных средств</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 xml:space="preserve"> (104,104,027)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(275,184,522)</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Привлечение заемных средств</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190,454,576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284,642,672</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 уплаченные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(8,738,350)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(30,464,409)</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Пособия при увольнении в форме валютных производных инструментов</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(82,647,909)</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уплаченные</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(55,899,875)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(52,556,210)</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Чистые денежные средства, использованные в финансовой деятельности</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139,064,415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(73,562,469)</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Чистое уменьшение денежных средств и их эквивалентов</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(839,748)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(936,543)</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начало года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2,614,659</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На конец года</w:t>
            </w: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w:t>
            </w: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838,368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743CE5">
        <w:tc>
          <w:tcPr>
            <w:tcW w:w="610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416"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20"/>
          <w:headerReference w:type="default" r:id="rId121"/>
          <w:footerReference w:type="default" r:id="rId122"/>
          <w:headerReference w:type="first" r:id="rId123"/>
          <w:pgSz w:w="11952" w:h="16848"/>
          <w:pgMar w:top="1021" w:right="1190" w:bottom="1021" w:left="1418" w:header="720" w:footer="720" w:gutter="0"/>
          <w:cols w:space="720"/>
          <w:noEndnote/>
        </w:sect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8"/>
          <w:szCs w:val="28"/>
          <w:lang w:eastAsia="ru-RU" w:bidi="ru-RU"/>
        </w:rPr>
      </w:pPr>
      <w:r w:rsidRPr="00743CE5">
        <w:rPr>
          <w:rFonts w:ascii="Tahoma" w:eastAsia="Times New Roman" w:hAnsi="Tahoma" w:cs="Tahoma"/>
          <w:color w:val="000000"/>
          <w:sz w:val="28"/>
          <w:szCs w:val="28"/>
          <w:lang w:eastAsia="ru-RU" w:bidi="ru-RU"/>
        </w:rPr>
        <w:t xml:space="preserve">ОТЧЕТ О ДВИЖЕНИИ ДЕНЕЖНЫХ СРЕДСТВ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24"/>
          <w:szCs w:val="24"/>
          <w:lang w:eastAsia="ru-RU" w:bidi="ru-RU"/>
        </w:rPr>
      </w:pPr>
      <w:r w:rsidRPr="00743CE5">
        <w:rPr>
          <w:rFonts w:ascii="Tahoma" w:eastAsia="Times New Roman" w:hAnsi="Tahoma" w:cs="Tahoma"/>
          <w:color w:val="000000"/>
          <w:sz w:val="24"/>
          <w:szCs w:val="24"/>
          <w:lang w:eastAsia="ru-RU" w:bidi="ru-RU"/>
        </w:rPr>
        <w:t>За год, закончившийся 31 декабря 2014 г.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Неденежные операции: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 31 мая 2013 года Компания приобрела White Estates у связанной стороны за 202 миллиона долларов США. Выплата была произведена в виде выпуска погашаемых привилегированных акций стоимостью 202 миллиона долларов США 6 июня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 15 июля 2013 года Компания подписалась на 135,370,430 обыкновенных акций Tropical Sunset Holdings Inc. по цене подписки 1.00 доллар США за акцию. Итоговая цена подписки составила 135,370,430 долларов США. Оплата была произведена посредством соглашения о взаимозачете.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20 декабря 2013 года компания группы Sabaton Holdings Limited увеличила свой эмиссионный доход на 84,458,340 долларов США компании O1 Properties Limited. Оплата была произведена посредством соглашения о взаимозачете дебиторской задолженности по займам от Gunilla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 31 октября 2013 года Компания подписала соглашение о взаимозачете и частично погасила следующую кредиторскую задолженность по займам:</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 47,386,633 рублей (включая основную сумму долга в размере 11,488,488 рублей плюс проценты в сумме 35,898,145 рублей) по займу от компании группы Krugozor Business Center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 122,257,018 рублей (включая основную сумму долга в размере 89,777,566 рублей плюс проценты в сумме 32,479,452 рублей) по займу от компании группы Le Fortaco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 130,067,323 рублей (включая основную сумму долга в размере 107,519,691 рублей плюс проценты в сумме 22,547,632 рублей) по займу от компании группы Business Center Stanislavsky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 20 ноября 2013 года Компания передала часть следующей кредиторской задолженности по займам компании группы Sharezone Capital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 основную сумму долга в размере 1,023,750,000 рублей по займу от компании группы Krugozor Business Center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 основную сумму долга в размере 1,097,000,000 рублей по займу от компании группы Le Fortaco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 основную сумму долга в размере 953,550,000 рублей по займу от компании группы Business Center Stanislavsky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 31 декабря 2013 года Компания передала следующую кредиторскую задолженность по займам компании Sharezone Capital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 31,194,489 рублей (включая основную сумму долга в размере 29,112,315 рублей плюс проценты в сумме 2,082,174 рублей) по займу от компании Krugozor Business Center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 59,571,102 рублей (включая основную сумму долга в размере 53,368,227 плюс проценты в сумме 6,202,875 рублей) по займу от компании Le Fortaco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 75,215,594 рублей (включая основную сумму долга в размере 74,237,306 рублей плюс проценты в сумме 978,287 рублей) по займу от компании Business Center Stanislavsky (Cyprus)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7. 31 декабря 2013 года Компания подписалась на 1,000 акций компании группы Xeroma Management Limited на общую сумму 8,825,361 долларов США. На эту же дату Компания подписала договор с компаниями группы Freyamoon Limited и Xeroma Management Limited о передаче Компании дебиторской задолженности от Freyamoon Limited в сумме 1,871,130 долларов США. Сумма к выплате по данному договору и по подписке, указанной выше, в размере 11,297,115 долларов США была взаимозачтена с дебиторской задолженность по займам от Xeroma Management Limited. 31 декабря 2013 года Компания продала подписанные акции Xeroma Management третьей стороне Bellrun за 1,000 евро.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 14 сентября 2014 года Компания подписалась еще на 100 акций Ratado Holding Limited с премией в размере 150 миллионов долларов США. Оплата за эти акции была произведена в этот же день посредством взноса 100% акционерного капитала Bitlena Holdings Limited в пользу Ratado Holding Limited.</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Данные неденежные операции не отражены в отчете о движении денежных средств.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24"/>
          <w:headerReference w:type="default" r:id="rId125"/>
          <w:footerReference w:type="default" r:id="rId126"/>
          <w:headerReference w:type="first" r:id="rId127"/>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 Регистрация и основная деятельность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Страна регистрации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Properties Limited (далее – «Компания») была учреждена на Кипре 24 августа 2010 года как частная компания с ограниченной ответственностью в соответствии с Законом о компаниях Кипра, Раздел 113.  Зарегистрированный офис Компании находится по адресу: 18 Spyrou Kyprianou, 2nd Floor, 1075 Nicosia, Cyprus.</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Изменение названия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30 мая 2011 года название Компании было изменено с Tonebol Limited на O1 Properties Limited. 28 марта 2012 года Компания была преобразована из частной акционерной компании с ограниченной ответственностью в публичную компанию с ограниченной ответственностью под названием O1 Properties plc. 10 июля 2012 года Компания была преобразована из публичной компании с ограниченной ответственностью в частную акционерную компанию с ограниченной ответственностью</w:t>
      </w:r>
      <w:proofErr w:type="gramEnd"/>
      <w:r w:rsidRPr="00743CE5">
        <w:rPr>
          <w:rFonts w:ascii="Tahoma" w:eastAsia="Times New Roman" w:hAnsi="Tahoma" w:cs="Tahoma"/>
          <w:color w:val="000000"/>
          <w:sz w:val="18"/>
          <w:szCs w:val="18"/>
          <w:lang w:eastAsia="ru-RU" w:bidi="ru-RU"/>
        </w:rPr>
        <w:t xml:space="preserve"> под названием O1 Properties Limited.</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Основная деятельность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Основной деятельностью Компании, которая не изменилась по сравнению с прошлым годом, является владение инвестициями и финансирование инвестиций в финансовые активы, оцениваемые по справедливой стоимости, изменения которой отражаются в составе прибыли или убытка, составляющие инвестиции в дочерние и ассоциированные предприятия, которые работают на рынке недвижимости Российской Федерации.</w:t>
      </w:r>
      <w:proofErr w:type="gramEnd"/>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 Учетная политика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Основные принципы учетной политики, использованные при подготовке данной финансовой отчетности, представлены ниже. Данные принципы применялись последовательно в отношении всех периодов, представленных в настоящей отчетности, если не указано иное.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Основа подготовки финансовой отчетности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Данная финансовая отчетность подготовлена в соответствии с Международными стандартами финансовой отчетности (МСФО), принятыми Европейским Союзом (ЕС), и в соответствии с Законом о компаниях Кипра, Раздел 113. Данная финансовая отчетность подготовлена на основе правил учета по первоначальной стоимости, с поправкой на переоценку финансовых активов, имеющихся в наличии для продажи, и финансовых активов и финансовых обязательств, оцениваемых по справедливой стоимости, изменения которой отражаются в составе прибыли или убытка.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подготовила настоящую отдельную финансовую отчетность материнской компании с целью соблюдения требований Закона Кипра о налоге на прибыль.</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также подготовила консолидированную финансовую отчетность в соответствии с МСФО по Компан</w:t>
      </w:r>
      <w:proofErr w:type="gramStart"/>
      <w:r w:rsidRPr="00743CE5">
        <w:rPr>
          <w:rFonts w:ascii="Tahoma" w:eastAsia="Times New Roman" w:hAnsi="Tahoma" w:cs="Tahoma"/>
          <w:color w:val="000000"/>
          <w:sz w:val="18"/>
          <w:szCs w:val="18"/>
          <w:lang w:eastAsia="ru-RU" w:bidi="ru-RU"/>
        </w:rPr>
        <w:t>ии и ее</w:t>
      </w:r>
      <w:proofErr w:type="gramEnd"/>
      <w:r w:rsidRPr="00743CE5">
        <w:rPr>
          <w:rFonts w:ascii="Tahoma" w:eastAsia="Times New Roman" w:hAnsi="Tahoma" w:cs="Tahoma"/>
          <w:color w:val="000000"/>
          <w:sz w:val="18"/>
          <w:szCs w:val="18"/>
          <w:lang w:eastAsia="ru-RU" w:bidi="ru-RU"/>
        </w:rPr>
        <w:t xml:space="preserve"> дочерним предприятиям (далее - «Группа»).  Консолидированную финансовую отчетность можно получить по адресу: 18 Spyrou Kyprianou, 2</w:t>
      </w:r>
      <w:r w:rsidRPr="00743CE5">
        <w:rPr>
          <w:rFonts w:ascii="Tahoma" w:eastAsia="Times New Roman" w:hAnsi="Tahoma" w:cs="Tahoma"/>
          <w:color w:val="000000"/>
          <w:sz w:val="18"/>
          <w:szCs w:val="18"/>
          <w:vertAlign w:val="superscript"/>
          <w:lang w:eastAsia="ru-RU" w:bidi="ru-RU"/>
        </w:rPr>
        <w:t>nd</w:t>
      </w:r>
      <w:r w:rsidRPr="00743CE5">
        <w:rPr>
          <w:rFonts w:ascii="Tahoma" w:eastAsia="Times New Roman" w:hAnsi="Tahoma" w:cs="Tahoma"/>
          <w:color w:val="000000"/>
          <w:sz w:val="18"/>
          <w:szCs w:val="18"/>
          <w:lang w:eastAsia="ru-RU" w:bidi="ru-RU"/>
        </w:rPr>
        <w:t xml:space="preserve"> Floor, 1075 Nicosia, Cyprus.</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Пользователи настоящей неконсолидированной финансовой отчетности материнской компании должны читать ее вместе с консолидированной финансовой отчетностью Группы по состоянию на 31 декабря 2014 года и за год, закончившийся на эту дату, чтобы получить надлежащее понимание финансового положения, финансовых результатов и движения денежных средств Компании и Группы.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Подготовка финансовой отчетности по МСФО требует использования некоторых важных бухгалтерских оценок. Кроме того, руководству необходимо полагаться на свои профессиональные суждения при применении учетной политики Компании. Подготовка финансовой отчетности также требует использование допущений, которые влияют на отражаемые в отчетности суммы активов и обязательств на отчетную дату, а также на отражаемые в отчетности доходы и расходы в течение отчетного периода.  Несмотря на то, что такие оценки основаны на имеющейся у руководства информации о текущих событиях и операциях, фактические результаты в конечном итоге могут отличаться от этих оценок. Области, требующие применения профессиональных суждений более высокого уровня или связанные с особой сложностью, а также области, в которых допущения и оценки оказывают существенное влияние на финансовую отчетность, указаны в Примечании 4.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headerReference w:type="even" r:id="rId128"/>
          <w:headerReference w:type="default" r:id="rId129"/>
          <w:footerReference w:type="default" r:id="rId130"/>
          <w:headerReference w:type="first" r:id="rId131"/>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Переход на новые или пересмотренные стандарты и разъяснения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На дату утверждения консолидированной финансовой отчетности Компании к выпуску все Международные стандарты финансовой отчетности, выпущенные Комитетом по МСФО (КМСФО), вступившие в силу на 1 января 2014 года, были приняты ЕС через процедуру, установленную Европейской комиссией, за исключением некоторых положений МСФО (IAS) 39 «Финансовые инструменты: признание и оценка», относящихся к учету хеджирования портфеля.</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2014 году Компания приняла все новые и пересмотренные Международные стандарты финансовой отчетности (МСФО), относящиеся к ее операционной деятельности и вступившие в силу для отчетных периодов, начинающихся 1 января 2013 года. Принятие этих стандартов не оказало существенного влияния на учетную политику Компании.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дату утверждения финансовой отчетности Компании Советом по международным стандартам финансовой отчетности были выпущены следующие стандарты, которые, однако, еще не вступили в силу: </w:t>
      </w:r>
    </w:p>
    <w:tbl>
      <w:tblPr>
        <w:tblW w:w="0" w:type="auto"/>
        <w:tblLayout w:type="fixed"/>
        <w:tblCellMar>
          <w:left w:w="0" w:type="dxa"/>
          <w:right w:w="39" w:type="dxa"/>
        </w:tblCellMar>
        <w:tblLook w:val="0000" w:firstRow="0" w:lastRow="0" w:firstColumn="0" w:lastColumn="0" w:noHBand="0" w:noVBand="0"/>
      </w:tblPr>
      <w:tblGrid>
        <w:gridCol w:w="9354"/>
      </w:tblGrid>
      <w:tr w:rsidR="00743CE5" w:rsidRPr="00743CE5" w:rsidTr="00743CE5">
        <w:tc>
          <w:tcPr>
            <w:tcW w:w="9354" w:type="dxa"/>
            <w:tcBorders>
              <w:top w:val="nil"/>
              <w:left w:val="nil"/>
              <w:bottom w:val="nil"/>
              <w:right w:val="nil"/>
            </w:tcBorders>
          </w:tcPr>
          <w:p w:rsidR="00743CE5" w:rsidRPr="00743CE5" w:rsidRDefault="00743CE5" w:rsidP="00743CE5">
            <w:pPr>
              <w:keepNext/>
              <w:widowControl w:val="0"/>
              <w:autoSpaceDE w:val="0"/>
              <w:autoSpaceDN w:val="0"/>
              <w:adjustRightInd w:val="0"/>
              <w:spacing w:before="283"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(i)</w:t>
            </w:r>
            <w:r w:rsidRPr="00743CE5">
              <w:rPr>
                <w:rFonts w:ascii="Tahoma" w:eastAsia="Times New Roman" w:hAnsi="Tahoma" w:cs="Tahoma"/>
                <w:b/>
                <w:bCs/>
                <w:color w:val="000000"/>
                <w:sz w:val="18"/>
                <w:szCs w:val="18"/>
                <w:lang w:eastAsia="ru-RU" w:bidi="ru-RU"/>
              </w:rPr>
              <w:tab/>
            </w:r>
            <w:proofErr w:type="gramStart"/>
            <w:r w:rsidRPr="00743CE5">
              <w:rPr>
                <w:rFonts w:ascii="Tahoma" w:eastAsia="Times New Roman" w:hAnsi="Tahoma" w:cs="Tahoma"/>
                <w:b/>
                <w:bCs/>
                <w:color w:val="000000"/>
                <w:sz w:val="18"/>
                <w:szCs w:val="18"/>
                <w:lang w:eastAsia="ru-RU" w:bidi="ru-RU"/>
              </w:rPr>
              <w:t>Принятые</w:t>
            </w:r>
            <w:proofErr w:type="gramEnd"/>
            <w:r w:rsidRPr="00743CE5">
              <w:rPr>
                <w:rFonts w:ascii="Tahoma" w:eastAsia="Times New Roman" w:hAnsi="Tahoma" w:cs="Tahoma"/>
                <w:b/>
                <w:bCs/>
                <w:color w:val="000000"/>
                <w:sz w:val="18"/>
                <w:szCs w:val="18"/>
                <w:lang w:eastAsia="ru-RU" w:bidi="ru-RU"/>
              </w:rPr>
              <w:t xml:space="preserve"> Европейским Союзом</w:t>
            </w:r>
          </w:p>
        </w:tc>
      </w:tr>
      <w:tr w:rsidR="00743CE5" w:rsidRPr="00743CE5" w:rsidTr="00743CE5">
        <w:tc>
          <w:tcPr>
            <w:tcW w:w="9354"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ind w:right="147"/>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Поправки</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(IAS) 19 «Вознаграждения работникам» (вступают в силу для годовых периодов, начинающихся 1 июля 2014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Ежегодные усовершенствования Международных стандартов финансовой отчетности, 2012 год (вступают в силу для годовых периодов, начинающихся 1 июля 2014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Ежегодные усовершенствования Международных стандартов финансовой отчетности, 2013 год (вступают в силу для годовых периодов, начинающихся 1 июля 2014 года или после этой даты).</w:t>
            </w:r>
            <w:r w:rsidRPr="00743CE5">
              <w:rPr>
                <w:rFonts w:ascii="Tahoma" w:eastAsia="Times New Roman" w:hAnsi="Tahoma" w:cs="Tahoma"/>
                <w:color w:val="000000"/>
                <w:sz w:val="18"/>
                <w:szCs w:val="18"/>
                <w:lang w:eastAsia="ru-RU" w:bidi="ru-RU"/>
              </w:rPr>
              <w:t xml:space="preserve"> </w:t>
            </w:r>
          </w:p>
        </w:tc>
      </w:tr>
    </w:tbl>
    <w:p w:rsidR="00743CE5" w:rsidRPr="00743CE5" w:rsidRDefault="00743CE5" w:rsidP="00743CE5">
      <w:pPr>
        <w:keepNext/>
        <w:widowControl w:val="0"/>
        <w:autoSpaceDE w:val="0"/>
        <w:autoSpaceDN w:val="0"/>
        <w:adjustRightInd w:val="0"/>
        <w:spacing w:before="283"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(ii)</w:t>
      </w:r>
      <w:r w:rsidRPr="00743CE5">
        <w:rPr>
          <w:rFonts w:ascii="Tahoma" w:eastAsia="Times New Roman" w:hAnsi="Tahoma" w:cs="Tahoma"/>
          <w:b/>
          <w:bCs/>
          <w:color w:val="000000"/>
          <w:sz w:val="18"/>
          <w:szCs w:val="18"/>
          <w:lang w:eastAsia="ru-RU" w:bidi="ru-RU"/>
        </w:rPr>
        <w:tab/>
        <w:t xml:space="preserve">Не </w:t>
      </w:r>
      <w:proofErr w:type="gramStart"/>
      <w:r w:rsidRPr="00743CE5">
        <w:rPr>
          <w:rFonts w:ascii="Tahoma" w:eastAsia="Times New Roman" w:hAnsi="Tahoma" w:cs="Tahoma"/>
          <w:b/>
          <w:bCs/>
          <w:color w:val="000000"/>
          <w:sz w:val="18"/>
          <w:szCs w:val="18"/>
          <w:lang w:eastAsia="ru-RU" w:bidi="ru-RU"/>
        </w:rPr>
        <w:t>принятые</w:t>
      </w:r>
      <w:proofErr w:type="gramEnd"/>
      <w:r w:rsidRPr="00743CE5">
        <w:rPr>
          <w:rFonts w:ascii="Tahoma" w:eastAsia="Times New Roman" w:hAnsi="Tahoma" w:cs="Tahoma"/>
          <w:b/>
          <w:bCs/>
          <w:color w:val="000000"/>
          <w:sz w:val="18"/>
          <w:szCs w:val="18"/>
          <w:lang w:eastAsia="ru-RU" w:bidi="ru-RU"/>
        </w:rPr>
        <w:t xml:space="preserve"> Европейским Союзом</w:t>
      </w:r>
    </w:p>
    <w:tbl>
      <w:tblPr>
        <w:tblW w:w="0" w:type="auto"/>
        <w:tblLayout w:type="fixed"/>
        <w:tblCellMar>
          <w:left w:w="0" w:type="dxa"/>
          <w:right w:w="39" w:type="dxa"/>
        </w:tblCellMar>
        <w:tblLook w:val="0000" w:firstRow="0" w:lastRow="0" w:firstColumn="0" w:lastColumn="0" w:noHBand="0" w:noVBand="0"/>
      </w:tblPr>
      <w:tblGrid>
        <w:gridCol w:w="9354"/>
      </w:tblGrid>
      <w:tr w:rsidR="00743CE5" w:rsidRPr="00743CE5" w:rsidTr="00743CE5">
        <w:tc>
          <w:tcPr>
            <w:tcW w:w="9354"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Новые стандарты</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(IFRS) 9 «Финансовые инструменты» (и последующие изменения в МСФО (IFRS) 9 и МСФО (IFRS) 7) (вступают в силу для годовых периодов, начинающихся 1 января 2018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i/>
                <w:color w:val="000000"/>
                <w:sz w:val="18"/>
                <w:szCs w:val="18"/>
                <w:lang w:eastAsia="ru-RU" w:bidi="ru-RU"/>
              </w:rPr>
              <w:t>МСФО (IFRS) 14 «Счета отложенных тарифных разниц» (вступает в силу для годовых периодов, начинающихся 1 января 2016 года или после этой даты).</w:t>
            </w:r>
            <w:r w:rsidRPr="00743CE5">
              <w:rPr>
                <w:rFonts w:ascii="Tahoma" w:eastAsia="Times New Roman" w:hAnsi="Tahoma" w:cs="Tahoma"/>
                <w:color w:val="000000"/>
                <w:sz w:val="18"/>
                <w:szCs w:val="18"/>
                <w:lang w:eastAsia="ru-RU" w:bidi="ru-RU"/>
              </w:rPr>
              <w:t xml:space="preserve"> </w:t>
            </w:r>
            <w:proofErr w:type="gramEnd"/>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МСФО (IFRS) 15 «Выручка по договорам с клиентами» (вступает силу для годовых периодов, начинающихся 1 января 2017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54"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Поправки</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(IFRS) 11 «Учет сделок по приобретению долей участия в совместных операциях» (вступают в силу для периодов, начинающихся 1 января 2016 года или после этой даты).</w:t>
            </w:r>
            <w:r w:rsidRPr="00743CE5">
              <w:rPr>
                <w:rFonts w:ascii="Tahoma" w:eastAsia="Times New Roman" w:hAnsi="Tahoma" w:cs="Tahoma"/>
                <w:color w:val="000000"/>
                <w:sz w:val="18"/>
                <w:szCs w:val="18"/>
                <w:lang w:eastAsia="ru-RU" w:bidi="ru-RU"/>
              </w:rPr>
              <w:t xml:space="preserve">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Поправки к МСФО (IAS) 16 и МСФО (IAS) 38 - «Разъяснение приемлемых методов начисления амортизации основных средств и нематериальных активов» (вступают в силу для годовых периодов, начинающихся 1 января 2016 года или после этой даты).</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Поправки к МСФО (IAS) 16 и МСФО (IAS) 41 «Сельское хозяйство: Растения, которыми владеет предприятие» (вступают в силу для годовых периодов, начинающихся 1 января 2016 года).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Поправки к МСФО (IAS) 27 «Применение метода долевого участия в отдельной финансовой отчетности» (вступают в силу для годовых периодов, начинающихся 1 января 2016 года).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Поправки к МСФО (IFRS) 10 и МСФО (IAS) 28 «Продажа или взнос активов в ассоциированное или совместное предприятие инвестором» (вступают в силу для годовых периодов, начинающихся 1 января 2016 года или после этой даты).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Ежегодные усовершенствования Международных стандартов финансовой отчетности, 2014 год (вступают в силу для годовых периодов, начинающихся 1 января 2016 года или после этой даты).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«Раскрытие информации» - Поправки к МСФО (IAS) 1 (вступают в силу для годовых периодов, начинающихся 1 января 2016 года или после этой даты).</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i/>
                <w:color w:val="000000"/>
                <w:sz w:val="18"/>
                <w:szCs w:val="18"/>
                <w:lang w:eastAsia="ru-RU" w:bidi="ru-RU"/>
              </w:rPr>
              <w:t>Поправки к МСФО (IFRS) 10, МСФО (IFRS) 12 и МСФО (IAS) 28 «Применение исключения из требования консолидации для инвестиционных компаний» (вступают силу для годовых периодов, начинающихся 1 января 2016 года или после этой даты).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tc>
      </w:tr>
    </w:tbl>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i/>
          <w:iCs/>
          <w:color w:val="000000"/>
          <w:sz w:val="18"/>
          <w:szCs w:val="18"/>
          <w:lang w:eastAsia="ru-RU" w:bidi="ru-RU"/>
        </w:rPr>
        <w:sectPr w:rsidR="00743CE5" w:rsidRPr="00743CE5" w:rsidSect="00CB150F">
          <w:footerReference w:type="default" r:id="rId132"/>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Совет директоров предполагает, что принятие этих стандартов финансовой отчетности в будущих периодах не окажет существенного влияния на финансовую отчетность Компании, за исключением следующего:</w:t>
      </w:r>
    </w:p>
    <w:tbl>
      <w:tblPr>
        <w:tblW w:w="0" w:type="auto"/>
        <w:tblLayout w:type="fixed"/>
        <w:tblCellMar>
          <w:left w:w="0" w:type="dxa"/>
          <w:right w:w="39" w:type="dxa"/>
        </w:tblCellMar>
        <w:tblLook w:val="0000" w:firstRow="0" w:lastRow="0" w:firstColumn="0" w:lastColumn="0" w:noHBand="0" w:noVBand="0"/>
      </w:tblPr>
      <w:tblGrid>
        <w:gridCol w:w="9354"/>
      </w:tblGrid>
      <w:tr w:rsidR="00743CE5" w:rsidRPr="00743CE5" w:rsidTr="00743CE5">
        <w:tc>
          <w:tcPr>
            <w:tcW w:w="935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МСФО (IFRS) 9 «Финансовые инструменты: классификация и оценка» (</w:t>
            </w:r>
            <w:proofErr w:type="gramStart"/>
            <w:r w:rsidRPr="00743CE5">
              <w:rPr>
                <w:rFonts w:ascii="Tahoma" w:eastAsia="Times New Roman" w:hAnsi="Tahoma" w:cs="Tahoma"/>
                <w:b/>
                <w:color w:val="000000"/>
                <w:sz w:val="18"/>
                <w:szCs w:val="18"/>
                <w:lang w:eastAsia="ru-RU" w:bidi="ru-RU"/>
              </w:rPr>
              <w:t>выпущен</w:t>
            </w:r>
            <w:proofErr w:type="gramEnd"/>
            <w:r w:rsidRPr="00743CE5">
              <w:rPr>
                <w:rFonts w:ascii="Tahoma" w:eastAsia="Times New Roman" w:hAnsi="Tahoma" w:cs="Tahoma"/>
                <w:b/>
                <w:color w:val="000000"/>
                <w:sz w:val="18"/>
                <w:szCs w:val="18"/>
                <w:lang w:eastAsia="ru-RU" w:bidi="ru-RU"/>
              </w:rPr>
              <w:t xml:space="preserve"> в июле 2014 года и вступает в силу для годовых периодов, начинающихся 1 января 2018 года или после этой даты).</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Основные отличия нового стандарта заключаются в следующем:</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должны классифицироваться по трем категориям оценки: оцениваемые впоследствии по амортизированной стоимости, оцениваемые впоследствии по справедливой стоимости, изменения которой отражаются в составе прочего совокупного дохода, и оцениваемые по справедливой стоимости, изменения которой отражаются в составе прибыли или убытка. </w:t>
            </w: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9"/>
              </w:numPr>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Инвестиции в долевые инструменты всегда оцениваются по справедливой стоимости. При этом руководство может принять решение, не подлежащее изменению, о представлении изменений в справедливой стоимости в составе прочего совокупного дохода, если инструмент не предназначен для торговли. Если же долевой инструмент относится к категории «</w:t>
            </w:r>
            <w:proofErr w:type="gramStart"/>
            <w:r w:rsidRPr="00743CE5">
              <w:rPr>
                <w:rFonts w:ascii="Tahoma" w:eastAsia="Times New Roman" w:hAnsi="Tahoma" w:cs="Tahoma"/>
                <w:color w:val="000000"/>
                <w:sz w:val="18"/>
                <w:szCs w:val="18"/>
                <w:lang w:eastAsia="ru-RU" w:bidi="ru-RU"/>
              </w:rPr>
              <w:t>предназначенных</w:t>
            </w:r>
            <w:proofErr w:type="gramEnd"/>
            <w:r w:rsidRPr="00743CE5">
              <w:rPr>
                <w:rFonts w:ascii="Tahoma" w:eastAsia="Times New Roman" w:hAnsi="Tahoma" w:cs="Tahoma"/>
                <w:color w:val="000000"/>
                <w:sz w:val="18"/>
                <w:szCs w:val="18"/>
                <w:lang w:eastAsia="ru-RU" w:bidi="ru-RU"/>
              </w:rPr>
              <w:t xml:space="preserve"> для торговли», то изменения в справедливой стоимости представляются в составе прибыли или убытка.</w:t>
            </w:r>
          </w:p>
          <w:p w:rsidR="00743CE5" w:rsidRPr="00743CE5" w:rsidRDefault="00743CE5" w:rsidP="00743CE5">
            <w:pPr>
              <w:widowControl w:val="0"/>
              <w:autoSpaceDE w:val="0"/>
              <w:autoSpaceDN w:val="0"/>
              <w:adjustRightInd w:val="0"/>
              <w:spacing w:after="0" w:line="240" w:lineRule="auto"/>
              <w:ind w:left="72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9"/>
              </w:numPr>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Большинство требований МСФО (IAS) 39 в отношении классификации и оценки финансовых обязательств были перенесены в МСФО (IFRS) 9 без изменений. Основным отличием является требование к предприятию раскрывать эффект изменений собственного кредитного риска финансовых обязательств, отнесенных к категории оцениваемых по справедливой стоимости, изменения которой отражаются в составе прибыли или убытка, в составе прочего совокупного дохода. </w:t>
            </w:r>
          </w:p>
          <w:p w:rsidR="00743CE5" w:rsidRPr="00743CE5" w:rsidRDefault="00743CE5" w:rsidP="00743CE5">
            <w:pPr>
              <w:widowControl w:val="0"/>
              <w:autoSpaceDE w:val="0"/>
              <w:autoSpaceDN w:val="0"/>
              <w:adjustRightInd w:val="0"/>
              <w:spacing w:after="0" w:line="240" w:lineRule="auto"/>
              <w:ind w:left="72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9"/>
              </w:numPr>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МСФО (IFRS) 9 вводит новую модель признания убытков от обесценения: модель ожидаемых кредитных убытков. Модель предусматривает «трехэтапный» подход, основанный на изменении кредитного качества финансовых активов с момента их первоначального признания. На практике эти новые правила означают, что предприятия должны будут учитывать мгновенные убытки, равные ожидаемым кредитным убыткам за 12 месяцев, при первоначальном признании финансовых активов, которые не являются обесцененными кредитными активами (или ожидаемым кредитным убыткам за весь срок действия для дебиторской задолженности по основной деятельности). При значительном увеличении кредитного риска обесценение оценивается исходя из ожидаемых кредитных убытков на срок финансового инструмента, а не ожидаемых кредитных убытков на 12 месяцев. Модель предусматривает операционные упрощения для аренды и торговой дебиторской задолженности.</w:t>
            </w:r>
          </w:p>
          <w:p w:rsidR="00743CE5" w:rsidRPr="00743CE5" w:rsidRDefault="00743CE5" w:rsidP="00743CE5">
            <w:pPr>
              <w:widowControl w:val="0"/>
              <w:autoSpaceDE w:val="0"/>
              <w:autoSpaceDN w:val="0"/>
              <w:adjustRightInd w:val="0"/>
              <w:spacing w:after="0" w:line="240" w:lineRule="auto"/>
              <w:ind w:left="72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9"/>
              </w:numPr>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Требования к учету хеджирования были скорректированы для большего соответствия учета  управлению рисками. Данный стандарт предоставляет предприятиям возможность выбора учетной политики: они могут применять учет хеджирования в соответствии с МСФО (IFRS) 9 или продолжать применять ко всем отношениям хеджирования МСФО (IAS) 39, так как в стандарте не рассматривается учет при макрохеджировании.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настоящее время Компания проводит оценку влияния новых стандартов на финансовую отчетность.</w:t>
            </w:r>
            <w:r w:rsidRPr="00743CE5">
              <w:rPr>
                <w:rFonts w:ascii="Tahoma" w:eastAsia="Times New Roman" w:hAnsi="Tahoma" w:cs="Tahoma"/>
                <w:color w:val="000000"/>
                <w:sz w:val="18"/>
                <w:szCs w:val="18"/>
                <w:lang w:eastAsia="ru-RU" w:bidi="ru-RU"/>
              </w:rPr>
              <w:tab/>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c>
      </w:tr>
      <w:tr w:rsidR="00743CE5" w:rsidRPr="00743CE5" w:rsidTr="00743CE5">
        <w:tc>
          <w:tcPr>
            <w:tcW w:w="935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sectPr w:rsidR="00743CE5" w:rsidRPr="00743CE5" w:rsidSect="00CB150F">
          <w:footerReference w:type="default" r:id="rId133"/>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widowControl w:val="0"/>
        <w:tabs>
          <w:tab w:val="left" w:pos="1221"/>
        </w:tabs>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Инвестиции в дочерние предприятия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 дочерним предприятиям относятся все предприятия (включая структурированные предприятия), которые контролирует Компания. Компания контролирует предприятие, если она подвергается рискам, связанным с переменным доходом от участия в объекте инвестиций или имеет право на получение такого дохода, и имеет возможность влиять на величину такого дохода, используя свои полномочия в отношении объекта инвестиций.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(i)</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Классификация: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классифицирует свои инвестиции в дочерние предприятия как финансовые активы, оцениваемые по справедливой стоимости, изменения которой отражаются в составе прибыли или убытка. Данные активы отражаются как долгосрочные, так как эти инвестиции удерживаются на долгосрочную перспективу, а не для торговли. Руководство определяет классификацию финансовых активов в момент их первоначального признания. Финансовые активы, классифицируемые как оцениваемые по справедливой стоимости, изменения которой отражаются в составе прибыли или убытка при первоначальном признании - это активы, управление которыми, а также оценка их эффективности осуществляются на основе справедливой стоимости в соответствии с документально закрепленной стратегией инвестирования Компании.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по справедливой стоимости этих финансовых активов представляется ключевому управленческому персоналу Компании. Активы в данной категории классифицируются как краткосрочные, если они удерживаются для торговли или их предполагается реализовать в течение двенадцати месяцев с отчетной даты.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719"/>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(ii)</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Признание и оценка: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Стандартные сделки по покупке и продаже финансовых активов признаются на дату совершения операции, то есть на дату, когда Компания принимает на себя обязательство купить или продать инвестиции в дочернее предприятие. Финансовые активы, оцениваемые по справедливой стоимости, изменения которой отражаются в составе прибыли или убытка, первоначально признаются по справедливой стоимости, а затраты по сделке относятся в отчет о совокупном доходе. Компания прекращает признание финансовых активов, когда истек период действия прав на получение потоков денежных средств от финансовых активов или они были переданы, и Компания в основном передала все риски и выгоды, связанные с правом собственности на них.</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 впоследствии отражаются по справедливой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Доходы и расходы, связанные с изменением справедливой стоимости финансовых активов, оцениваемых по справедливой стоимости, изменения которой отражаются в составе прибыли или убытка, представлены в отчете о совокупном доходе в том периоде, в котором они возникают. Дивидендный доход по финансовым активам, оцениваемым по справедливой стоимости, изменения которой отражаются в составе прибыли или убытка, отражается в отчете о совокупном доходе в составе дохода по дивидендам в момент установления права Компании на получение выплат. Если Компания осуществляет реструктуризацию группы, в результате которой появляется новая холдинговая компания-посредник, с передачей удерживаемых ранее дочерних предприятий новой холдинговой компании-посреднику в обмен за выпуск акций новой холдинговой компанией-посредником, Компания определяет первоначальную справедливую стоимость новой холдинговой компании-посредника на основе справедливой стоимости переданных дочерних предприятий на дату передачи.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Признание выручки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Выручка, полученная Компанией, признается следующим образом:</w:t>
      </w:r>
    </w:p>
    <w:p w:rsidR="00743CE5" w:rsidRPr="00743CE5" w:rsidRDefault="00743CE5" w:rsidP="00743CE5">
      <w:pPr>
        <w:widowControl w:val="0"/>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Процентные доходы </w:t>
      </w:r>
    </w:p>
    <w:p w:rsidR="00743CE5" w:rsidRPr="00743CE5" w:rsidRDefault="00743CE5" w:rsidP="00743CE5">
      <w:pPr>
        <w:widowControl w:val="0"/>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признаются пропорционально в течение времени финансирования с использованием метода эффективной ставки процента.</w:t>
      </w:r>
    </w:p>
    <w:p w:rsidR="00743CE5" w:rsidRPr="00743CE5" w:rsidRDefault="00743CE5" w:rsidP="00743CE5">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Доход по дивидендам</w:t>
      </w:r>
      <w:r w:rsidRPr="00743CE5">
        <w:rPr>
          <w:rFonts w:ascii="Tahoma" w:eastAsia="Times New Roman" w:hAnsi="Tahoma" w:cs="Tahoma"/>
          <w:bCs/>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 признаются, когда установлено право Компании на получение платежа.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sectPr w:rsidR="00743CE5" w:rsidRPr="00743CE5" w:rsidSect="00CB150F">
          <w:headerReference w:type="even" r:id="rId134"/>
          <w:headerReference w:type="default" r:id="rId135"/>
          <w:footerReference w:type="default" r:id="rId136"/>
          <w:headerReference w:type="first" r:id="rId137"/>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Финансовые расходы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расходы и прочие затраты по заемным средствам, полученным для финансирования строительства или производства квалифицируемых активов, капитализируются в течение периода, необходимого для завершения строительства и подготовки объекта для предполагаемого использования. Все прочие затраты по займам относятся на расходы.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Пересчет иностранной валюты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850"/>
        <w:gridCol w:w="8509"/>
      </w:tblGrid>
      <w:tr w:rsidR="00743CE5" w:rsidRPr="00743CE5" w:rsidTr="00743CE5">
        <w:tc>
          <w:tcPr>
            <w:tcW w:w="850"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(1)</w:t>
            </w:r>
          </w:p>
        </w:tc>
        <w:tc>
          <w:tcPr>
            <w:tcW w:w="8509"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bCs/>
                <w:i/>
                <w:color w:val="000000"/>
                <w:sz w:val="18"/>
                <w:szCs w:val="18"/>
                <w:u w:val="single"/>
                <w:lang w:eastAsia="ru-RU" w:bidi="ru-RU"/>
              </w:rPr>
              <w:t>Функциональная валюта и валюта представления отчетности</w:t>
            </w:r>
          </w:p>
        </w:tc>
      </w:tr>
      <w:tr w:rsidR="00743CE5" w:rsidRPr="00743CE5" w:rsidTr="00743CE5">
        <w:tc>
          <w:tcPr>
            <w:tcW w:w="85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8509"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Статьи, включенные в финансовую отчетность Компании, оцениваются в валюте основной экономической среды, в которой предприятие осуществляет свою деятельность («функциональная валюта»). Данная финансовая отчетность представлена в долларах США - функциональной валюте и валюте представления отчетности Компании.</w:t>
            </w:r>
          </w:p>
        </w:tc>
      </w:tr>
      <w:tr w:rsidR="00743CE5" w:rsidRPr="00743CE5" w:rsidTr="00743CE5">
        <w:tc>
          <w:tcPr>
            <w:tcW w:w="850"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(2)</w:t>
            </w:r>
          </w:p>
        </w:tc>
        <w:tc>
          <w:tcPr>
            <w:tcW w:w="8509" w:type="dxa"/>
            <w:tcBorders>
              <w:top w:val="nil"/>
              <w:left w:val="nil"/>
              <w:bottom w:val="nil"/>
              <w:right w:val="nil"/>
            </w:tcBorders>
          </w:tcPr>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bCs/>
                <w:i/>
                <w:color w:val="000000"/>
                <w:sz w:val="18"/>
                <w:szCs w:val="18"/>
                <w:u w:val="single"/>
                <w:lang w:eastAsia="ru-RU" w:bidi="ru-RU"/>
              </w:rPr>
              <w:t>Операции и остатки</w:t>
            </w:r>
          </w:p>
        </w:tc>
      </w:tr>
      <w:tr w:rsidR="00743CE5" w:rsidRPr="00743CE5" w:rsidTr="00743CE5">
        <w:tc>
          <w:tcPr>
            <w:tcW w:w="850"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8509"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Операции в иностранной валюте пересчитываются в функциональную валюту на основании обменного курса на дату осуществления операции. </w:t>
            </w:r>
            <w:proofErr w:type="gramStart"/>
            <w:r w:rsidRPr="00743CE5">
              <w:rPr>
                <w:rFonts w:ascii="Tahoma" w:eastAsia="Times New Roman" w:hAnsi="Tahoma" w:cs="Tahoma"/>
                <w:color w:val="000000"/>
                <w:sz w:val="18"/>
                <w:szCs w:val="18"/>
                <w:lang w:eastAsia="ru-RU" w:bidi="ru-RU"/>
              </w:rPr>
              <w:t>Прибыли или убытки от курсовых разниц, возникающие при осуществлении расчетов и пересчете денежных активов и обязательств, выраженных в иностранной валюте, по обменному курсу на конец года отражаются в составе прибыли или убытка.</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Курсовые разницы по финансовым активам, имеющимся в наличии для продажи, отражаются в составе прочего совокупного дохода.</w:t>
            </w:r>
            <w:proofErr w:type="gramEnd"/>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Текущие и отложенные налоги </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Расход по налогу за год состоит из текущего и отложенного налога на прибыль. Налог на прибыль отражается в отчете о совокупном доходе, за исключением сумм, относящихся к статьям, отражаемым в прочем совокупном доходе или непосредственно в составе капитала. В </w:t>
      </w:r>
      <w:proofErr w:type="gramStart"/>
      <w:r w:rsidRPr="00743CE5">
        <w:rPr>
          <w:rFonts w:ascii="Tahoma" w:eastAsia="Times New Roman" w:hAnsi="Tahoma" w:cs="Tahoma"/>
          <w:color w:val="000000"/>
          <w:sz w:val="18"/>
          <w:szCs w:val="18"/>
          <w:lang w:eastAsia="ru-RU" w:bidi="ru-RU"/>
        </w:rPr>
        <w:t>этом</w:t>
      </w:r>
      <w:proofErr w:type="gramEnd"/>
      <w:r w:rsidRPr="00743CE5">
        <w:rPr>
          <w:rFonts w:ascii="Tahoma" w:eastAsia="Times New Roman" w:hAnsi="Tahoma" w:cs="Tahoma"/>
          <w:color w:val="000000"/>
          <w:sz w:val="18"/>
          <w:szCs w:val="18"/>
          <w:lang w:eastAsia="ru-RU" w:bidi="ru-RU"/>
        </w:rPr>
        <w:t xml:space="preserve"> случае налог также признается в прочем совокупном доходе или непосредственно в составе капитала соответственно.</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 рассчитывается на основе налогового законодательства, действующего или по существу вступившего в силу на отчетную дату в стране, в которой Компания осуществляет свою деятельность и получает налогооблагаемую прибыль. Руководство периодически оценивает позиции в налоговых декларациях относительно ситуаций, в которых применимые положения налогового законодательства допускают возможность разных толкований. Если применимые положения налогового законодательства допускают возможность разных толкований, руководство формирует в необходимых случаях резерв на основе сумм, ожидаемых к уплате налоговым органам.</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Отложенный налог на прибыль определяется </w:t>
      </w:r>
      <w:proofErr w:type="gramStart"/>
      <w:r w:rsidRPr="00743CE5">
        <w:rPr>
          <w:rFonts w:ascii="Tahoma" w:eastAsia="Times New Roman" w:hAnsi="Tahoma" w:cs="Tahoma"/>
          <w:color w:val="000000"/>
          <w:sz w:val="18"/>
          <w:szCs w:val="18"/>
          <w:lang w:eastAsia="ru-RU" w:bidi="ru-RU"/>
        </w:rPr>
        <w:t>по</w:t>
      </w:r>
      <w:proofErr w:type="gramEnd"/>
      <w:r w:rsidRPr="00743CE5">
        <w:rPr>
          <w:rFonts w:ascii="Tahoma" w:eastAsia="Times New Roman" w:hAnsi="Tahoma" w:cs="Tahoma"/>
          <w:color w:val="000000"/>
          <w:sz w:val="18"/>
          <w:szCs w:val="18"/>
          <w:lang w:eastAsia="ru-RU" w:bidi="ru-RU"/>
        </w:rPr>
        <w:t xml:space="preserve"> временным разницам между налоговой базой активов и обязательств и их балансовой суммой в финансовой отчетности с использованием метода обязательств. Однако отложенный налог не признается в отношении </w:t>
      </w:r>
      <w:proofErr w:type="gramStart"/>
      <w:r w:rsidRPr="00743CE5">
        <w:rPr>
          <w:rFonts w:ascii="Tahoma" w:eastAsia="Times New Roman" w:hAnsi="Tahoma" w:cs="Tahoma"/>
          <w:color w:val="000000"/>
          <w:sz w:val="18"/>
          <w:szCs w:val="18"/>
          <w:lang w:eastAsia="ru-RU" w:bidi="ru-RU"/>
        </w:rPr>
        <w:t>временных</w:t>
      </w:r>
      <w:proofErr w:type="gramEnd"/>
      <w:r w:rsidRPr="00743CE5">
        <w:rPr>
          <w:rFonts w:ascii="Tahoma" w:eastAsia="Times New Roman" w:hAnsi="Tahoma" w:cs="Tahoma"/>
          <w:color w:val="000000"/>
          <w:sz w:val="18"/>
          <w:szCs w:val="18"/>
          <w:lang w:eastAsia="ru-RU" w:bidi="ru-RU"/>
        </w:rPr>
        <w:t xml:space="preserve"> разниц, возникающих при первоначальном признании актива или обязательства по операциям, не являющимся объединением бизнеса, если таковые на дату операции не оказывают влияния ни на бухгалтерскую, ни на налогооблагаемую прибыль или убыток. Отложенный налог на прибыль рассчитывается в соответствии с налоговыми ставками и положениями законодательства, действующими или по существу вступившими в силу на отчетную дату, применение </w:t>
      </w:r>
      <w:proofErr w:type="gramStart"/>
      <w:r w:rsidRPr="00743CE5">
        <w:rPr>
          <w:rFonts w:ascii="Tahoma" w:eastAsia="Times New Roman" w:hAnsi="Tahoma" w:cs="Tahoma"/>
          <w:color w:val="000000"/>
          <w:sz w:val="18"/>
          <w:szCs w:val="18"/>
          <w:lang w:eastAsia="ru-RU" w:bidi="ru-RU"/>
        </w:rPr>
        <w:t>которых</w:t>
      </w:r>
      <w:proofErr w:type="gramEnd"/>
      <w:r w:rsidRPr="00743CE5">
        <w:rPr>
          <w:rFonts w:ascii="Tahoma" w:eastAsia="Times New Roman" w:hAnsi="Tahoma" w:cs="Tahoma"/>
          <w:color w:val="000000"/>
          <w:sz w:val="18"/>
          <w:szCs w:val="18"/>
          <w:lang w:eastAsia="ru-RU" w:bidi="ru-RU"/>
        </w:rPr>
        <w:t xml:space="preserve"> ожидается при реализации соответствующего налогового отложенного актива или при погашении соответствующего отложенного налогового обязательства.</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Отложенные налоговые активы признаются тогда, когда существует вероятность получения налогооблагаемой прибыли, против которой могут быть использованы временные разницы.</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Зачет отложенных активов и обязательств по налогу на прибыль возможен, когда в законодательстве предусмотрено право зачета текущих налоговых активов и обязательств, и когда активы и обязательства по отложенному налогу на прибыль относятся к налогам, начисленным одним и тем же налоговым органом, при том, что существует намерение произвести расчеты путем взаимозачета.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Дивиденды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Выплата дивидендов акционерам Компании признается как обязательство в финансовой отчетности Компании в том году, в котором дивиденды надлежащим образом утверждаются, и уже не являются выплачиваемыми по усмотрению Компании. А именно: промежуточные дивиденды отражаются как обязательство в том периоде, в котором они утверждены Советом директоров, а окончательные дивиденды признаются в том периоде, в котором они утверждены акционерами Компании.</w:t>
      </w:r>
    </w:p>
    <w:p w:rsidR="00743CE5" w:rsidRPr="00743CE5" w:rsidRDefault="00743CE5" w:rsidP="00743CE5">
      <w:pPr>
        <w:keepNext/>
        <w:keepLines/>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Финансовые инструменты</w:t>
      </w:r>
      <w:r w:rsidRPr="00743CE5">
        <w:rPr>
          <w:rFonts w:ascii="Tahoma" w:eastAsia="Times New Roman" w:hAnsi="Tahoma" w:cs="Tahoma"/>
          <w:bCs/>
          <w:color w:val="000000"/>
          <w:sz w:val="18"/>
          <w:szCs w:val="18"/>
          <w:lang w:eastAsia="ru-RU" w:bidi="ru-RU"/>
        </w:rPr>
        <w:t xml:space="preserve">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 финансовые обязательства отражаются в отчете о финансовом положении, когда Компания вступает в договорные отношения, предметом которых являются указанные финансовые инструменты.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Торговая дебиторская задолженность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При первоначальном признании торговая дебиторская задолженность отражается по справедливой стоимости, впоследствии - по амортизированной стоимости с использованием метода эффективной ставки процента. При наличии объективного доказательства обесценения актива в прибыли или убытке признаются соответствующие резервы по расчетной возмещаемой стоимости. Отраженный резерв представляет собой разницу между балансовой стоимостью актива и приведенной стоимостью ожидаемых потоков денежных средств, рассчитанной путем дисконтирования по эффективной ставке процента, определенной при первоначальном признании.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Займы выданные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Займы, выданные Компанией в виде денежных средств непосредственно заемщику, первоначально учитываются по справедливой стоимости плюс понесенные затраты по сделке. Эта сумма определяется как справедливая стоимость </w:t>
      </w:r>
      <w:proofErr w:type="gramStart"/>
      <w:r w:rsidRPr="00743CE5">
        <w:rPr>
          <w:rFonts w:ascii="Tahoma" w:eastAsia="Times New Roman" w:hAnsi="Tahoma" w:cs="Tahoma"/>
          <w:color w:val="000000"/>
          <w:sz w:val="18"/>
          <w:szCs w:val="18"/>
          <w:lang w:eastAsia="ru-RU" w:bidi="ru-RU"/>
        </w:rPr>
        <w:t>ресурсов, предоставленных для выдачи таких займов и оценивается</w:t>
      </w:r>
      <w:proofErr w:type="gramEnd"/>
      <w:r w:rsidRPr="00743CE5">
        <w:rPr>
          <w:rFonts w:ascii="Tahoma" w:eastAsia="Times New Roman" w:hAnsi="Tahoma" w:cs="Tahoma"/>
          <w:color w:val="000000"/>
          <w:sz w:val="18"/>
          <w:szCs w:val="18"/>
          <w:lang w:eastAsia="ru-RU" w:bidi="ru-RU"/>
        </w:rPr>
        <w:t xml:space="preserve"> на основе рыночной цены на дату выдачи займа. Предоставленные займы отражаются, начиная с момента выдачи денежных средств заемщикам. После первоначального признания займы и дебиторская задолженность учитываются по амортизированной стоимости, рассчитанной с использованием метода эффективной ставки процента.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Резерв под обесценение займов формируется при наличии объективных данных, свидетельствующих о том, что Компания не сможет получить все суммы, причитающиеся к выплате в соответствии с первоначальными условиями соглашения. Сумма резерва представляет собой разницу между балансовой и возмещаемой стоимостью займа, являясь приведенной стоимостью ожидаемых денежных потоков, включая суммы, возмещаемые гарантиями и обеспечением, дисконтированные с использованием первоначальной эффективной процентной ставки по займам.</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Инвестиции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классифицирует инвестиции в долевые и долговые ценные бумаги по следующим категориям: финансовые активы, оцениваемые по справедливой стоимости, изменения которой отражаются в составе прибыли или убытка, и финансовые активы, имеющиеся в наличии для продажи. Классификация зависит от цели приобретения этих инвестиций. Руководство определяет классификацию инвестиций при первоначальном признании и пересматривает ее на каждую отчетную дату.</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Финансовые активы, оцениваемые по справедливой стоимости, изменения которой отражаются в составе прибыли или убытка</w:t>
      </w:r>
    </w:p>
    <w:p w:rsidR="00743CE5" w:rsidRPr="00743CE5" w:rsidRDefault="00743CE5" w:rsidP="00743CE5">
      <w:pPr>
        <w:keepLines/>
        <w:widowControl w:val="0"/>
        <w:autoSpaceDE w:val="0"/>
        <w:autoSpaceDN w:val="0"/>
        <w:adjustRightInd w:val="0"/>
        <w:spacing w:after="0" w:line="240" w:lineRule="auto"/>
        <w:ind w:left="680"/>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Эта категория подразделяется на две </w:t>
      </w:r>
      <w:proofErr w:type="gramStart"/>
      <w:r w:rsidRPr="00743CE5">
        <w:rPr>
          <w:rFonts w:ascii="Tahoma" w:eastAsia="Times New Roman" w:hAnsi="Tahoma" w:cs="Tahoma"/>
          <w:color w:val="000000"/>
          <w:sz w:val="18"/>
          <w:szCs w:val="18"/>
          <w:lang w:eastAsia="ru-RU" w:bidi="ru-RU"/>
        </w:rPr>
        <w:noBreakHyphen/>
        <w:t>п</w:t>
      </w:r>
      <w:proofErr w:type="gramEnd"/>
      <w:r w:rsidRPr="00743CE5">
        <w:rPr>
          <w:rFonts w:ascii="Tahoma" w:eastAsia="Times New Roman" w:hAnsi="Tahoma" w:cs="Tahoma"/>
          <w:color w:val="000000"/>
          <w:sz w:val="18"/>
          <w:szCs w:val="18"/>
          <w:lang w:eastAsia="ru-RU" w:bidi="ru-RU"/>
        </w:rPr>
        <w:t>одкатегории: финансовые активы, оцениваемые по справедливой стоимости, изменения которой отражаются в составе прибыли или убытка, и финансовые активы, оцениваемые по справедливой стоимости, изменения которой отражаются в составе прибыли или убытка при первоначальном признании. Финансовый актив относится к категории оцениваемых по справедливой стоимости, изменения которой отражаются в составе прибыли или убытка, если он приобретен в основном для генерирования прибыли за счет краткосрочных колебаний цены. Активы в данной категории классифицируются как краткосрочные активы, если они удерживаются по справедливой стоимости, изменения которой отражаются в составе прибыли или убытка, или их предполагается реализовать в течение двенадцати месяцев с отчетной даты.</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sectPr w:rsidR="00743CE5" w:rsidRPr="00743CE5" w:rsidSect="00CB150F">
          <w:footerReference w:type="default" r:id="rId138"/>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widowControl w:val="0"/>
        <w:numPr>
          <w:ilvl w:val="0"/>
          <w:numId w:val="1"/>
        </w:numPr>
        <w:tabs>
          <w:tab w:val="left" w:pos="1440"/>
        </w:tabs>
        <w:autoSpaceDE w:val="0"/>
        <w:autoSpaceDN w:val="0"/>
        <w:adjustRightInd w:val="0"/>
        <w:spacing w:after="0" w:line="240" w:lineRule="atLeast"/>
        <w:ind w:left="720" w:hanging="720"/>
        <w:rPr>
          <w:rFonts w:ascii="Tahoma" w:eastAsia="Times New Roman" w:hAnsi="Tahoma" w:cs="Tahoma"/>
          <w:color w:val="000000"/>
          <w:sz w:val="18"/>
          <w:szCs w:val="18"/>
          <w:u w:val="single"/>
          <w:lang w:eastAsia="ru-RU" w:bidi="ru-RU"/>
        </w:rPr>
      </w:pPr>
      <w:r w:rsidRPr="00743CE5">
        <w:rPr>
          <w:rFonts w:ascii="Tahoma" w:eastAsia="Times New Roman" w:hAnsi="Tahoma" w:cs="Arial"/>
          <w:color w:val="000000"/>
          <w:sz w:val="18"/>
          <w:u w:val="single"/>
          <w:lang w:eastAsia="ru-RU" w:bidi="ru-RU"/>
        </w:rPr>
        <w:t>Займы и дебиторская задолженность</w:t>
      </w:r>
    </w:p>
    <w:p w:rsidR="00743CE5" w:rsidRPr="00743CE5" w:rsidRDefault="00743CE5" w:rsidP="00743CE5">
      <w:pPr>
        <w:widowControl w:val="0"/>
        <w:tabs>
          <w:tab w:val="left" w:pos="1440"/>
        </w:tabs>
        <w:autoSpaceDE w:val="0"/>
        <w:autoSpaceDN w:val="0"/>
        <w:adjustRightInd w:val="0"/>
        <w:spacing w:after="0" w:line="240" w:lineRule="atLeast"/>
        <w:ind w:left="1440" w:hanging="720"/>
        <w:rPr>
          <w:rFonts w:ascii="Arial" w:eastAsia="Times New Roman" w:hAnsi="Arial" w:cs="Arial"/>
          <w:color w:val="000000"/>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Займы и дебиторская задолженность являются непроизводными финансовыми активами с фиксированными или определяемыми платежами, не имеющими котировок на активном рынке, и в отношении которых отсутствует намерение осуществлять торговые операции. Эти статьи включаются в состав краткосрочных активов, за исключением имеющих сроки погашения более чем 12 месяцев после отчетной даты.  Данные активы классифицируются как долгосрочные активы. Займы и дебиторская задолженность Компании представлены в отчете о финансовом положении дебиторской задолженностью, денежными средствами и их эквивалентами, а также дебиторской задолженностью по займам.</w:t>
      </w:r>
    </w:p>
    <w:p w:rsidR="00743CE5" w:rsidRPr="00743CE5" w:rsidRDefault="00743CE5" w:rsidP="00743CE5">
      <w:pPr>
        <w:widowControl w:val="0"/>
        <w:autoSpaceDE w:val="0"/>
        <w:autoSpaceDN w:val="0"/>
        <w:adjustRightInd w:val="0"/>
        <w:spacing w:after="0" w:line="240" w:lineRule="auto"/>
        <w:ind w:left="680"/>
        <w:rPr>
          <w:rFonts w:ascii="Tahoma" w:eastAsia="Times New Roman" w:hAnsi="Tahoma" w:cs="Tahoma"/>
          <w:color w:val="000000"/>
          <w:sz w:val="18"/>
          <w:szCs w:val="18"/>
          <w:u w:val="single"/>
          <w:lang w:eastAsia="ru-RU" w:bidi="ru-RU"/>
        </w:rPr>
      </w:pPr>
    </w:p>
    <w:p w:rsidR="00743CE5" w:rsidRPr="00743CE5" w:rsidRDefault="00743CE5" w:rsidP="00743CE5">
      <w:pPr>
        <w:widowControl w:val="0"/>
        <w:numPr>
          <w:ilvl w:val="0"/>
          <w:numId w:val="1"/>
        </w:numPr>
        <w:autoSpaceDE w:val="0"/>
        <w:autoSpaceDN w:val="0"/>
        <w:adjustRightInd w:val="0"/>
        <w:spacing w:after="0" w:line="240" w:lineRule="auto"/>
        <w:ind w:left="680" w:hanging="680"/>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Финансовые активы, имеющиеся в наличии для продажи</w:t>
      </w:r>
    </w:p>
    <w:p w:rsidR="00743CE5" w:rsidRPr="00743CE5" w:rsidRDefault="00743CE5" w:rsidP="00743CE5">
      <w:pPr>
        <w:widowControl w:val="0"/>
        <w:autoSpaceDE w:val="0"/>
        <w:autoSpaceDN w:val="0"/>
        <w:adjustRightInd w:val="0"/>
        <w:spacing w:after="0" w:line="240" w:lineRule="atLeast"/>
        <w:ind w:left="1440" w:hanging="720"/>
        <w:rPr>
          <w:rFonts w:ascii="Arial" w:eastAsia="Times New Roman" w:hAnsi="Arial" w:cs="Arial"/>
          <w:color w:val="000000"/>
          <w:lang w:eastAsia="ru-RU" w:bidi="ru-RU"/>
        </w:rPr>
      </w:pPr>
    </w:p>
    <w:p w:rsidR="00743CE5" w:rsidRPr="00743CE5" w:rsidRDefault="00743CE5" w:rsidP="00743CE5">
      <w:pPr>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Arial"/>
          <w:color w:val="000000"/>
          <w:sz w:val="18"/>
          <w:lang w:eastAsia="ru-RU" w:bidi="ru-RU"/>
        </w:rPr>
        <w:t>Финансовые активы, имеющиеся в наличии для продажи, являются непроизводными финансовыми инструментами, отнесенными к этой категории, или не отнесенными ни к одной из прочих категорий.  Они включаются в состав долгосрочных активов, за исключением случаев, когда срок инвестиции истекает или руководство имеет намерение реализовать их в течение двенадцати месяцев с отчетной даты.</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Стандартные сделки по покупке и продаже инвестиций признаются на дату совершения операции, то есть на дату, когда Компания принимает на себя обязательство купить или продать актив. Инвестиции первоначально отражаются по справедливой стоимости плюс затраты по сделке за исключением финансовых активов, оцениваемых по справедливой стоимости, изменения которой отражаются в составе прибыли или убытка. Компания прекращает признание инвестиций, когда истек период действия прав на получение потоков денежных средств от инвестиций или они были переданы, и Компания в основном передала все риски и выгоды, связанные с правом собственности на них.  Займы и дебиторская задолженность отражаются по амортизированной стоимости с использованием метода эффективной ставки процента.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имеющиеся в наличии для продажи, и финансовые активы, оцениваемые по справедливой стоимости, изменения которой отражаются в составе прибыли или убытка, впоследствии отражаются по справедливой стоимости.  Займы и дебиторская задолженность отражаются по амортизированной стоимости с использованием метода эффективной ставки процента.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Реализованные и нереализованные </w:t>
      </w:r>
      <w:proofErr w:type="gramStart"/>
      <w:r w:rsidRPr="00743CE5">
        <w:rPr>
          <w:rFonts w:ascii="Tahoma" w:eastAsia="Times New Roman" w:hAnsi="Tahoma" w:cs="Tahoma"/>
          <w:color w:val="000000"/>
          <w:sz w:val="18"/>
          <w:szCs w:val="18"/>
          <w:lang w:eastAsia="ru-RU" w:bidi="ru-RU"/>
        </w:rPr>
        <w:t>доходы</w:t>
      </w:r>
      <w:proofErr w:type="gramEnd"/>
      <w:r w:rsidRPr="00743CE5">
        <w:rPr>
          <w:rFonts w:ascii="Tahoma" w:eastAsia="Times New Roman" w:hAnsi="Tahoma" w:cs="Tahoma"/>
          <w:color w:val="000000"/>
          <w:sz w:val="18"/>
          <w:szCs w:val="18"/>
          <w:lang w:eastAsia="ru-RU" w:bidi="ru-RU"/>
        </w:rPr>
        <w:t xml:space="preserve"> и расходы, связанные с изменением справедливой стоимости финансовых активов, оцениваемых по справедливой стоимости, изменения которой отражаются в составе прибыли или убытка, представлены в отчете о совокупном доходе в том периоде, в котором они возникают.</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Изменения справедливой стоимости денежных ценных бумаг, деноминированных в иностранной валюте, которые классифицируются как имеющиеся в наличии для продажи, анализируются на основании расхождений, возникающих в результате изменений амортизированной стоимости и других изменений балансовой стоимости ценной бумаги. Курсовые разницы по денежным ценным бумагам отражаются в прибыли или </w:t>
      </w:r>
      <w:proofErr w:type="gramStart"/>
      <w:r w:rsidRPr="00743CE5">
        <w:rPr>
          <w:rFonts w:ascii="Tahoma" w:eastAsia="Times New Roman" w:hAnsi="Tahoma" w:cs="Tahoma"/>
          <w:color w:val="000000"/>
          <w:sz w:val="18"/>
          <w:szCs w:val="18"/>
          <w:lang w:eastAsia="ru-RU" w:bidi="ru-RU"/>
        </w:rPr>
        <w:t>убытке</w:t>
      </w:r>
      <w:proofErr w:type="gramEnd"/>
      <w:r w:rsidRPr="00743CE5">
        <w:rPr>
          <w:rFonts w:ascii="Tahoma" w:eastAsia="Times New Roman" w:hAnsi="Tahoma" w:cs="Tahoma"/>
          <w:color w:val="000000"/>
          <w:sz w:val="18"/>
          <w:szCs w:val="18"/>
          <w:lang w:eastAsia="ru-RU" w:bidi="ru-RU"/>
        </w:rPr>
        <w:t xml:space="preserve">; курсовые разницы по неденежным ценным бумагам отражаются в составе прочего совокупного дохода. Изменения в справедливой стоимости денежных и неденежных ценных бумаг, классифицированных как имеющиеся в наличии для продажи, отражаются в составе прочего совокупного дохода.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случае</w:t>
      </w:r>
      <w:proofErr w:type="gramEnd"/>
      <w:r w:rsidRPr="00743CE5">
        <w:rPr>
          <w:rFonts w:ascii="Tahoma" w:eastAsia="Times New Roman" w:hAnsi="Tahoma" w:cs="Tahoma"/>
          <w:color w:val="000000"/>
          <w:sz w:val="18"/>
          <w:szCs w:val="18"/>
          <w:lang w:eastAsia="ru-RU" w:bidi="ru-RU"/>
        </w:rPr>
        <w:t xml:space="preserve"> продажи или обесценения ценных бумаг, классифицированных как имеющиеся в наличии для продажи, накопленная сумма корректировок по справедливой стоимости, отраженная в составе прочего совокупного дохода, включается в прибыль или убыток.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Процентный доход по ценным бумагам, имеющимся в наличии для продажи, рассчитывается по методу эффективной ставки процента и отражается в прибыли или убытке как часть процентного дохода. Дивиденды по долевым инструментам, имеющимся в наличии для продажи, отражаются в прибыли или убытке в составе дохода по дивидендам в момент установления права Компании на получение выплат.</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 xml:space="preserve">Справедливая стоимость котируемых инвестиций определяется на основе текущей цены спроса. При отсутствии активного рынка для финансового актива (и для некотируемых ценных бумаг) Компания устанавливает справедливую стоимость, используя методики оценки. Эти методики включают использование информации по последним сделкам, совершенным на рыночных условиях, сопоставление с другими, в значительной степени аналогичными инструментами, а также анализ дисконтированных денежных потоков с целью максимального учета исходных рыночных данных и в минимальной степени – информации, касающейся только конкретного предприятия.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каждую отчетную дату Компания осуществляет оценку на предмет наличия объективных признаков обесценения финансового актива или группы финансовых активов. </w:t>
      </w:r>
      <w:proofErr w:type="gramStart"/>
      <w:r w:rsidRPr="00743CE5">
        <w:rPr>
          <w:rFonts w:ascii="Tahoma" w:eastAsia="Times New Roman" w:hAnsi="Tahoma" w:cs="Tahoma"/>
          <w:color w:val="000000"/>
          <w:sz w:val="18"/>
          <w:szCs w:val="18"/>
          <w:lang w:eastAsia="ru-RU" w:bidi="ru-RU"/>
        </w:rPr>
        <w:t>В отношении долевых ценных бумаг, относимых к категории имеющихся в наличии для продажи, значительное или продолжительное снижение справедливой стоимости ценной бумаги до уровня ниже ее первоначальной стоимости считается показателем обесценения ценных бумаг.</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Если такие свидетельства существуют в отношении финансовых активов, имеющихся в наличии для продажи, то накопленный убыток, оцениваемый как разница между стоимостью приобретения и текущей справедливой стоимостью, за вычетом убытка от обесценения данного актива, который был первоначально признан по счетам прибылей и убытков, переносится со счетов капитала в отчет о совокупном доходе.</w:t>
      </w:r>
      <w:proofErr w:type="gramEnd"/>
      <w:r w:rsidRPr="00743CE5">
        <w:rPr>
          <w:rFonts w:ascii="Tahoma" w:eastAsia="Times New Roman" w:hAnsi="Tahoma" w:cs="Tahoma"/>
          <w:color w:val="000000"/>
          <w:sz w:val="18"/>
          <w:szCs w:val="18"/>
          <w:lang w:eastAsia="ru-RU" w:bidi="ru-RU"/>
        </w:rPr>
        <w:t xml:space="preserve"> Убытки от обесценения долевых инструментов, признанные в отчете о совокупном доходе, не восстанавливаются через счет прибылей и убытков.</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Денежные средства и их эквиваленты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Денежные средства и их эквиваленты включают средства на счетах в банках с первоначальным сроком погашения по договору не более трех месяцев. Денежные средства и их эквиваленты учитываются по амортизированной стоимости, рассчитанной с использованием метода эффективной ставки процента.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Заемные средства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первоначально признаются по сумме полученных средств за вычетом понесенных затрат по сделкам. Впоследствии заемные средства отражаются по амортизированной стоимости с использованием метода эффективной ставки процента. Разница между суммой полученных средств (за вычетом понесенных затрат) и стоимостью погашения отражается в отчете о совокупном доходе в течение периода заимствования с использованием метода эффективной  ставки процента.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Arial"/>
          <w:color w:val="000000"/>
          <w:sz w:val="18"/>
          <w:lang w:eastAsia="ru-RU" w:bidi="ru-RU"/>
        </w:rPr>
        <w:t>Заемные средства классифицируются как краткосрочные  обязательства, за исключением случаев, когда Компания обладает безусловным правом на отсрочку урегулирования обязательства на период не менее 12 месяцев после отчетной даты.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Торговая кредиторская задолженность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 начисляется по факту исполнения контрагентом своих договорных обязательств и учитывается по амортизированной стоимости с использованием метода эффективной ставки процента.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Производные финансовые инструменты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 включая валютообменные контракты и процентные свопы, отражаются по справедливой стоимости. Производные инструменты учитываются как активы, если справедливая стоимость данных инструментов является положительной, и как обязательства, если их справедливая стоимость является отрицательной. Изменения справедливой стоимости производных инструментов включаются в прибыль или убыток за год. Компания не применяет учет хеджирования.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Некоторые производные инструменты, встроенные в другие финансовые инструменты, выделяются из основного договора, если их риски и экономические характеристики не находятся в тесной связи с рисками и экономическими характеристиками договора.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Изменение справедливой стоимости производных инструментов признается непосредственно в составе прибылей и убытков.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Прекращение признания финансовых активов и обязательств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Финансовые активы</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прекращает признание финансового актива (или, если применимо, части финансового актива или группы аналогичных финансовых активов), когда: </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погашены или срок действия прав на потоки денежных средств, связанных с этими активами, истек;</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передала практически все риски и вознаграждения, связанные с владением этими активами; или</w:t>
      </w:r>
    </w:p>
    <w:p w:rsidR="00743CE5" w:rsidRPr="00743CE5" w:rsidRDefault="00743CE5" w:rsidP="00743CE5">
      <w:pPr>
        <w:keepLines/>
        <w:widowControl w:val="0"/>
        <w:numPr>
          <w:ilvl w:val="0"/>
          <w:numId w:val="1"/>
        </w:numPr>
        <w:autoSpaceDE w:val="0"/>
        <w:autoSpaceDN w:val="0"/>
        <w:adjustRightInd w:val="0"/>
        <w:spacing w:after="0" w:line="240" w:lineRule="auto"/>
        <w:ind w:left="680" w:hanging="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не передала и не сохранила практически все риски и вознаграждения, связанные с владением этими активами, но утратила право контроля в отношении данных активов.</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i/>
          <w:iCs/>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Финансовые обязательства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прекращает признание финансового обязательства или части финансового обязательства в случае его исполнения, отмены или истечения срока действия.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sectPr w:rsidR="00743CE5" w:rsidRPr="00743CE5" w:rsidSect="00CB150F">
          <w:footerReference w:type="default" r:id="rId139"/>
          <w:pgSz w:w="11952" w:h="16848"/>
          <w:pgMar w:top="1021" w:right="1190" w:bottom="1021" w:left="1418" w:header="720" w:footer="720" w:gutter="0"/>
          <w:cols w:space="720"/>
          <w:noEndnote/>
        </w:sect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Обесценение нефинансовых активов </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с неопределенным сроком службы не подлежат амортизации, и в их отношении ежегодно проводится тестирование на обесценение. Активы, подлежащие амортизации, тестируются на предмет обесценения, если какие-либо события или изменения свидетельствуют о том, что балансовая стоимость, возможно, не будет возмещена. Убыток от обесценения признается в размере превышения балансовой стоимости актива над его возмещаемой стоимостью. Возмещаемая стоимость определяется как наибольшая из справедливой стоимости актива за вычетом затрат на продажу и стоимости, получаемой в результате полезного использования. Для определения величины обесценения активы объединяются в группу на самом низком уровне, на котором Компания отдельно идентифицирует потоки денежных средств (единицы, генерирующие денежные потоки).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Взаимозачет финансовых инструментов </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Финансовые активы и обязательства взаимозачитываются и в отчете о финансовом положении отражается чистая величина только в тех случаях, когда существует законодательно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  Как правило, это не относится к генеральным соглашениям о взаимозачете; соответствующие активы и обязательства </w:t>
      </w:r>
      <w:proofErr w:type="gramStart"/>
      <w:r w:rsidRPr="00743CE5">
        <w:rPr>
          <w:rFonts w:ascii="Tahoma" w:eastAsia="Times New Roman" w:hAnsi="Tahoma" w:cs="Tahoma"/>
          <w:color w:val="000000"/>
          <w:sz w:val="18"/>
          <w:szCs w:val="18"/>
          <w:lang w:eastAsia="ru-RU" w:bidi="ru-RU"/>
        </w:rPr>
        <w:t>представлены</w:t>
      </w:r>
      <w:proofErr w:type="gramEnd"/>
      <w:r w:rsidRPr="00743CE5">
        <w:rPr>
          <w:rFonts w:ascii="Tahoma" w:eastAsia="Times New Roman" w:hAnsi="Tahoma" w:cs="Tahoma"/>
          <w:color w:val="000000"/>
          <w:sz w:val="18"/>
          <w:szCs w:val="18"/>
          <w:lang w:eastAsia="ru-RU" w:bidi="ru-RU"/>
        </w:rPr>
        <w:t xml:space="preserve"> развернуто в отчете о финансовом положении.</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Операции с владельцами капитала/дочерними предприятиями</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осуществляет операции с акционерами и дочерними предприятиями. </w:t>
      </w:r>
      <w:proofErr w:type="gramStart"/>
      <w:r w:rsidRPr="00743CE5">
        <w:rPr>
          <w:rFonts w:ascii="Tahoma" w:eastAsia="Times New Roman" w:hAnsi="Tahoma" w:cs="Tahoma"/>
          <w:color w:val="000000"/>
          <w:sz w:val="18"/>
          <w:szCs w:val="18"/>
          <w:lang w:eastAsia="ru-RU" w:bidi="ru-RU"/>
        </w:rPr>
        <w:t>На основе характера сделки в соответствии с учетной политикой Компания признает (а) прибыль или убытки у собственников Компании и других предприятий, находящихся под контролем конечного акционера, напрямую через капитал, и учитывает эти сделки как получение дополнительного взноса в капитал или выплату дивидендов; и (b) любые убытки дочерних предприятий как стоимость инвестиций в дочерние предприятии.</w:t>
      </w:r>
      <w:proofErr w:type="gramEnd"/>
      <w:r w:rsidRPr="00743CE5">
        <w:rPr>
          <w:rFonts w:ascii="Tahoma" w:eastAsia="Times New Roman" w:hAnsi="Tahoma" w:cs="Tahoma"/>
          <w:color w:val="000000"/>
          <w:sz w:val="18"/>
          <w:szCs w:val="18"/>
          <w:lang w:eastAsia="ru-RU" w:bidi="ru-RU"/>
        </w:rPr>
        <w:t xml:space="preserve"> Аналогичные операции со сторонами, не владеющими акциями, или дочерними предприятиями признаются через прибыль или убыток в соответствии с МСФО (IAS) 39 «Финансовые инструменты: признание и оценка».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учитывает все операции с собственниками/дочерними предприятиями по выбытию дочерних предприятий по цене сделки. При возникновении прибыли или убытка Компания учитывает эти статьи, как указано выше.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Акционерный капитал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Обыкновенные акции классифицируются как капитал.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Эмиссионный доход представляет собой разницу между справедливой стоимостью подлежащего к получению возмещения за акции и номинальной стоимостью акций.  Счет эмиссионного дохода может использоваться для ограниченного набора целей, в который не входит выплата дивидендов, в противном случае он подпадает под положения Закона о компаниях Кипра о снижении уставного капитала.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Акции отражаются как капитал, только если соблюдены оба условия (а) и (b): (а) акции не включают договорные обязательства (i) выплатить денежные средства или прочие финансовые активы другому предприятию или (ii) обменяться финансовыми активами или финансовыми обязательствами с другим предприятием на условиях, потенциально неблагоприятных для эмитента, и (</w:t>
      </w:r>
      <w:proofErr w:type="gramStart"/>
      <w:r w:rsidRPr="00743CE5">
        <w:rPr>
          <w:rFonts w:ascii="Tahoma" w:eastAsia="Times New Roman" w:hAnsi="Tahoma" w:cs="Tahoma"/>
          <w:color w:val="000000"/>
          <w:sz w:val="18"/>
          <w:szCs w:val="18"/>
          <w:lang w:eastAsia="ru-RU" w:bidi="ru-RU"/>
        </w:rPr>
        <w:t xml:space="preserve">b) </w:t>
      </w:r>
      <w:proofErr w:type="gramEnd"/>
      <w:r w:rsidRPr="00743CE5">
        <w:rPr>
          <w:rFonts w:ascii="Tahoma" w:eastAsia="Times New Roman" w:hAnsi="Tahoma" w:cs="Tahoma"/>
          <w:color w:val="000000"/>
          <w:sz w:val="18"/>
          <w:szCs w:val="18"/>
          <w:lang w:eastAsia="ru-RU" w:bidi="ru-RU"/>
        </w:rPr>
        <w:t>акции будут или могут быть погашены собственными долевыми инструментами эмитента, и акции являются (i) непроизводными инструментами без договорных обязатель</w:t>
      </w:r>
      <w:proofErr w:type="gramStart"/>
      <w:r w:rsidRPr="00743CE5">
        <w:rPr>
          <w:rFonts w:ascii="Tahoma" w:eastAsia="Times New Roman" w:hAnsi="Tahoma" w:cs="Tahoma"/>
          <w:color w:val="000000"/>
          <w:sz w:val="18"/>
          <w:szCs w:val="18"/>
          <w:lang w:eastAsia="ru-RU" w:bidi="ru-RU"/>
        </w:rPr>
        <w:t>ств дл</w:t>
      </w:r>
      <w:proofErr w:type="gramEnd"/>
      <w:r w:rsidRPr="00743CE5">
        <w:rPr>
          <w:rFonts w:ascii="Tahoma" w:eastAsia="Times New Roman" w:hAnsi="Tahoma" w:cs="Tahoma"/>
          <w:color w:val="000000"/>
          <w:sz w:val="18"/>
          <w:szCs w:val="18"/>
          <w:lang w:eastAsia="ru-RU" w:bidi="ru-RU"/>
        </w:rPr>
        <w:t xml:space="preserve">я эмитента предоставить переменное количество собственных долевых инструментов или (ii) производными инструментами, расчет по которым производится только посредством обмена эмитентом фиксированной суммы денежных средств или другого финансового актива на фиксированное количество собственных долевых инструментов.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отношении</w:t>
      </w:r>
      <w:proofErr w:type="gramEnd"/>
      <w:r w:rsidRPr="00743CE5">
        <w:rPr>
          <w:rFonts w:ascii="Tahoma" w:eastAsia="Times New Roman" w:hAnsi="Tahoma" w:cs="Tahoma"/>
          <w:color w:val="000000"/>
          <w:sz w:val="18"/>
          <w:szCs w:val="18"/>
          <w:lang w:eastAsia="ru-RU" w:bidi="ru-RU"/>
        </w:rPr>
        <w:t xml:space="preserve"> выплат, основанных на акциях, расчеты по которым осуществляются долевыми инструментами, когда акции выпускаются в качестве оплаты за приобретение инвестиций, Компания учитывает инвестиции по справедливой стоимости с соответствующим увеличением капитала.</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 Учетная политика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План выплат денежными средствами, основанных на акциях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Некоторые директора и ключевой управленческий персонал Компании имеют право на выплаты, основанные на акциях. Ввиду того, что в рамках данного плана Компания имеет обязательство осуществить выплаты денежными средствами, этот план учитывается как операция по выплатам денежными средствами, основанным на акциях. Расчет обязательств и расходов, относящихся к данному плану, основан на 1) периоде вступления в права на получение платежей, 2) расчетной справедливой стоимости опционов, 3) количестве опционов, которые удовлетворяют условиям вступления в права и 4) расчетном сроке исполнения опционов. Обязательство, относящееся к плану, оценивается на конец каждого отчетного периода по справедливой стоимости через прибыль или убыток по мере передачи прав по опционам. Обязательство первоначально и на конец каждого отчетного периода до момента его исполнения оценивается </w:t>
      </w:r>
      <w:proofErr w:type="gramStart"/>
      <w:r w:rsidRPr="00743CE5">
        <w:rPr>
          <w:rFonts w:ascii="Tahoma" w:eastAsia="Times New Roman" w:hAnsi="Tahoma" w:cs="Tahoma"/>
          <w:color w:val="000000"/>
          <w:sz w:val="18"/>
          <w:szCs w:val="18"/>
          <w:lang w:eastAsia="ru-RU" w:bidi="ru-RU"/>
        </w:rPr>
        <w:t>по справедливой стоимости прав на получение прироста стоимости акций с использованием модели оценки опциона с учетом условий передачи прав на получение</w:t>
      </w:r>
      <w:proofErr w:type="gramEnd"/>
      <w:r w:rsidRPr="00743CE5">
        <w:rPr>
          <w:rFonts w:ascii="Tahoma" w:eastAsia="Times New Roman" w:hAnsi="Tahoma" w:cs="Tahoma"/>
          <w:color w:val="000000"/>
          <w:sz w:val="18"/>
          <w:szCs w:val="18"/>
          <w:lang w:eastAsia="ru-RU" w:bidi="ru-RU"/>
        </w:rPr>
        <w:t xml:space="preserve"> прироста стоимости акций и в пределах услуг, оказанных сотрудниками на текущую дату.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План выплат долевыми инструментами, основанных на акциях</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 2013 года некоторые директора и ключевой управленческий персонал Компании имеют право на выплаты долевыми инструментами, основанные на акциях. В </w:t>
      </w:r>
      <w:proofErr w:type="gramStart"/>
      <w:r w:rsidRPr="00743CE5">
        <w:rPr>
          <w:rFonts w:ascii="Tahoma" w:eastAsia="Times New Roman" w:hAnsi="Tahoma" w:cs="Tahoma"/>
          <w:color w:val="000000"/>
          <w:sz w:val="18"/>
          <w:szCs w:val="18"/>
          <w:lang w:eastAsia="ru-RU" w:bidi="ru-RU"/>
        </w:rPr>
        <w:t>рамках</w:t>
      </w:r>
      <w:proofErr w:type="gramEnd"/>
      <w:r w:rsidRPr="00743CE5">
        <w:rPr>
          <w:rFonts w:ascii="Tahoma" w:eastAsia="Times New Roman" w:hAnsi="Tahoma" w:cs="Tahoma"/>
          <w:color w:val="000000"/>
          <w:sz w:val="18"/>
          <w:szCs w:val="18"/>
          <w:lang w:eastAsia="ru-RU" w:bidi="ru-RU"/>
        </w:rPr>
        <w:t xml:space="preserve"> этого плана Компания получает услуги от сотрудников в качестве оплаты за долевые инструменты, выпущенные Компанией.  По этим планам Компания оценивает полученные услуги и соответствующий прирост капитала напрямую, по справедливой стоимости полученных услуг, до тех пор, пока такая справедливая стоимость может быть рассчитана с достаточной степенью надежности.  Когда Компания не может рассчитать с достаточной степенью надежности справедливую стоимость полученных услуг, Компания оценивает справедливую стоимость и соответствующий прирост капитала косвенно, на основе справедливой стоимости предоставленных долевых инструментов. Справедливая стоимость долевых инструментов оценивается на дату предоставления.</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 Управление финансовыми рисками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Факторы финансового риска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подвержена риску изменения процентной ставки, кредитному риску, риску ликвидности, валютному риску и риску капитала, связанному с финансовыми инструментами. Политика по управлению данными рисками, применяемая Компанией, описана ниже.</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3.1 Риск процентной ставки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принимает на себя риск, связанный с влиянием колебаний рыночных процентных ставок на ее финансовое положение и потоки денежных средств. Такие колебания могут повышать уровень процентной маржи, однако в случае неожиданного изменения процентных ставок процентная маржа может снижаться или приводить к возникновению убытков.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таблице ниже отражены общие суммы финансовых активов и обязательств Компании </w:t>
      </w:r>
      <w:proofErr w:type="gramStart"/>
      <w:r w:rsidRPr="00743CE5">
        <w:rPr>
          <w:rFonts w:ascii="Tahoma" w:eastAsia="Times New Roman" w:hAnsi="Tahoma" w:cs="Tahoma"/>
          <w:color w:val="000000"/>
          <w:sz w:val="18"/>
          <w:szCs w:val="18"/>
          <w:lang w:eastAsia="ru-RU" w:bidi="ru-RU"/>
        </w:rPr>
        <w:t>по балансовой стоимости в разбивке по датам пересмотра процентных ставок в соответствии с договорами</w:t>
      </w:r>
      <w:proofErr w:type="gramEnd"/>
      <w:r w:rsidRPr="00743CE5">
        <w:rPr>
          <w:rFonts w:ascii="Tahoma" w:eastAsia="Times New Roman" w:hAnsi="Tahoma" w:cs="Tahoma"/>
          <w:color w:val="000000"/>
          <w:sz w:val="18"/>
          <w:szCs w:val="18"/>
          <w:lang w:eastAsia="ru-RU" w:bidi="ru-RU"/>
        </w:rPr>
        <w:t xml:space="preserve"> или сроками погашения, в зависимости от того, какая из указанных дат является более ранней.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tbl>
      <w:tblPr>
        <w:tblW w:w="9507" w:type="dxa"/>
        <w:tblInd w:w="39" w:type="dxa"/>
        <w:tblLayout w:type="fixed"/>
        <w:tblCellMar>
          <w:left w:w="39" w:type="dxa"/>
          <w:right w:w="39" w:type="dxa"/>
        </w:tblCellMar>
        <w:tblLook w:val="0000" w:firstRow="0" w:lastRow="0" w:firstColumn="0" w:lastColumn="0" w:noHBand="0" w:noVBand="0"/>
      </w:tblPr>
      <w:tblGrid>
        <w:gridCol w:w="3261"/>
        <w:gridCol w:w="1665"/>
        <w:gridCol w:w="1485"/>
        <w:gridCol w:w="1571"/>
        <w:gridCol w:w="1525"/>
      </w:tblGrid>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66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Менее 1 года</w:t>
            </w:r>
          </w:p>
        </w:tc>
        <w:tc>
          <w:tcPr>
            <w:tcW w:w="1485"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1 до 5 лет</w:t>
            </w:r>
            <w:r w:rsidRPr="00743CE5">
              <w:rPr>
                <w:rFonts w:ascii="Tahoma" w:eastAsia="Times New Roman" w:hAnsi="Tahoma" w:cs="Tahoma"/>
                <w:color w:val="000000"/>
                <w:sz w:val="18"/>
                <w:szCs w:val="18"/>
                <w:lang w:eastAsia="ru-RU" w:bidi="ru-RU"/>
              </w:rPr>
              <w:noBreakHyphen/>
            </w:r>
          </w:p>
        </w:tc>
        <w:tc>
          <w:tcPr>
            <w:tcW w:w="1571" w:type="dxa"/>
            <w:tcBorders>
              <w:top w:val="nil"/>
              <w:left w:val="nil"/>
              <w:bottom w:val="nil"/>
              <w:right w:val="nil"/>
            </w:tcBorders>
            <w:vAlign w:val="bottom"/>
          </w:tcPr>
          <w:p w:rsidR="00743CE5" w:rsidRPr="00743CE5" w:rsidRDefault="00743CE5" w:rsidP="00743CE5">
            <w:pPr>
              <w:widowControl w:val="0"/>
              <w:tabs>
                <w:tab w:val="right" w:pos="1464"/>
                <w:tab w:val="left" w:pos="14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Свыше 5 лет</w:t>
            </w:r>
          </w:p>
        </w:tc>
        <w:tc>
          <w:tcPr>
            <w:tcW w:w="152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Итого</w:t>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66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48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57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52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31 декабря 2014 года </w:t>
            </w:r>
          </w:p>
        </w:tc>
        <w:tc>
          <w:tcPr>
            <w:tcW w:w="1665"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57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52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w:t>
            </w:r>
          </w:p>
        </w:tc>
        <w:tc>
          <w:tcPr>
            <w:tcW w:w="1665"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77,185,317</w:t>
            </w:r>
            <w:r w:rsidRPr="00743CE5">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ind w:left="-145" w:firstLine="145"/>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tab/>
              <w:t>127,525,599</w:t>
            </w:r>
          </w:p>
        </w:tc>
        <w:tc>
          <w:tcPr>
            <w:tcW w:w="1571"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42,147,472</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246,858,388</w:t>
            </w:r>
            <w:r w:rsidRPr="00743CE5">
              <w:rPr>
                <w:rFonts w:ascii="Tahoma" w:eastAsia="Times New Roman" w:hAnsi="Tahoma" w:cs="Tahoma"/>
                <w:color w:val="000000"/>
                <w:sz w:val="18"/>
                <w:szCs w:val="18"/>
                <w:lang w:eastAsia="ru-RU" w:bidi="ru-RU"/>
              </w:rPr>
              <w:tab/>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w:t>
            </w:r>
          </w:p>
        </w:tc>
        <w:tc>
          <w:tcPr>
            <w:tcW w:w="1665" w:type="dxa"/>
            <w:tcBorders>
              <w:top w:val="nil"/>
              <w:left w:val="nil"/>
              <w:bottom w:val="nil"/>
              <w:right w:val="nil"/>
            </w:tcBorders>
            <w:vAlign w:val="bottom"/>
          </w:tcPr>
          <w:p w:rsidR="00743CE5" w:rsidRPr="00743CE5" w:rsidRDefault="00743CE5" w:rsidP="00743CE5">
            <w:pPr>
              <w:widowControl w:val="0"/>
              <w:tabs>
                <w:tab w:val="right" w:pos="1349"/>
                <w:tab w:val="left" w:pos="149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(161,453,875)</w:t>
            </w:r>
          </w:p>
        </w:tc>
        <w:tc>
          <w:tcPr>
            <w:tcW w:w="1485" w:type="dxa"/>
            <w:tcBorders>
              <w:top w:val="nil"/>
              <w:left w:val="nil"/>
              <w:bottom w:val="nil"/>
              <w:right w:val="nil"/>
            </w:tcBorders>
            <w:vAlign w:val="bottom"/>
          </w:tcPr>
          <w:p w:rsidR="00743CE5" w:rsidRPr="00743CE5" w:rsidRDefault="00743CE5" w:rsidP="00743CE5">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(131,535,497)</w:t>
            </w:r>
            <w:r w:rsidRPr="00743CE5">
              <w:rPr>
                <w:rFonts w:ascii="Tahoma" w:eastAsia="Times New Roman" w:hAnsi="Tahoma" w:cs="Tahoma"/>
                <w:color w:val="000000"/>
                <w:sz w:val="18"/>
                <w:szCs w:val="18"/>
                <w:lang w:eastAsia="ru-RU" w:bidi="ru-RU"/>
              </w:rPr>
              <w:tab/>
            </w:r>
          </w:p>
        </w:tc>
        <w:tc>
          <w:tcPr>
            <w:tcW w:w="1571" w:type="dxa"/>
            <w:tcBorders>
              <w:top w:val="nil"/>
              <w:left w:val="nil"/>
              <w:bottom w:val="nil"/>
              <w:right w:val="nil"/>
            </w:tcBorders>
            <w:vAlign w:val="bottom"/>
          </w:tcPr>
          <w:p w:rsidR="00743CE5" w:rsidRPr="00743CE5" w:rsidRDefault="00743CE5" w:rsidP="00743CE5">
            <w:pPr>
              <w:widowControl w:val="0"/>
              <w:tabs>
                <w:tab w:val="right" w:pos="1349"/>
                <w:tab w:val="left" w:pos="14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1418"/>
                <w:tab w:val="left" w:pos="1444"/>
              </w:tabs>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(292,989,372)</w:t>
            </w:r>
            <w:r w:rsidRPr="00743CE5">
              <w:rPr>
                <w:rFonts w:ascii="Tahoma" w:eastAsia="Times New Roman" w:hAnsi="Tahoma" w:cs="Tahoma"/>
                <w:color w:val="000000"/>
                <w:sz w:val="18"/>
                <w:szCs w:val="18"/>
                <w:lang w:eastAsia="ru-RU" w:bidi="ru-RU"/>
              </w:rPr>
              <w:tab/>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tabs>
                <w:tab w:val="left" w:pos="680"/>
                <w:tab w:val="left" w:pos="1360"/>
                <w:tab w:val="left" w:pos="2040"/>
                <w:tab w:val="left" w:pos="2721"/>
                <w:tab w:val="left" w:pos="3401"/>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Чистый разрыв по процентным ставкам на 31 декабря 2013 года</w:t>
            </w:r>
            <w:r w:rsidRPr="00743CE5">
              <w:rPr>
                <w:rFonts w:ascii="Tahoma" w:eastAsia="Times New Roman" w:hAnsi="Tahoma" w:cs="Tahoma"/>
                <w:color w:val="000000"/>
                <w:sz w:val="18"/>
                <w:szCs w:val="18"/>
                <w:lang w:eastAsia="ru-RU" w:bidi="ru-RU"/>
              </w:rPr>
              <w:t xml:space="preserve"> </w:t>
            </w:r>
          </w:p>
        </w:tc>
        <w:tc>
          <w:tcPr>
            <w:tcW w:w="1665" w:type="dxa"/>
            <w:tcBorders>
              <w:top w:val="nil"/>
              <w:left w:val="nil"/>
              <w:bottom w:val="nil"/>
              <w:right w:val="nil"/>
            </w:tcBorders>
            <w:vAlign w:val="bottom"/>
          </w:tcPr>
          <w:p w:rsidR="00743CE5" w:rsidRPr="00743CE5" w:rsidRDefault="00743CE5" w:rsidP="00743CE5">
            <w:pPr>
              <w:widowControl w:val="0"/>
              <w:tabs>
                <w:tab w:val="right" w:pos="1274"/>
                <w:tab w:val="left" w:pos="1416"/>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(84,268,558)</w:t>
            </w:r>
          </w:p>
        </w:tc>
        <w:tc>
          <w:tcPr>
            <w:tcW w:w="1485" w:type="dxa"/>
            <w:tcBorders>
              <w:top w:val="nil"/>
              <w:left w:val="nil"/>
              <w:bottom w:val="nil"/>
              <w:right w:val="nil"/>
            </w:tcBorders>
            <w:vAlign w:val="bottom"/>
          </w:tcPr>
          <w:p w:rsidR="00743CE5" w:rsidRPr="00743CE5" w:rsidRDefault="00743CE5" w:rsidP="00743CE5">
            <w:pPr>
              <w:widowControl w:val="0"/>
              <w:tabs>
                <w:tab w:val="right" w:pos="1274"/>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 xml:space="preserve"> (4,009,898)</w:t>
            </w:r>
            <w:r w:rsidRPr="00743CE5">
              <w:rPr>
                <w:rFonts w:ascii="Tahoma" w:eastAsia="Times New Roman" w:hAnsi="Tahoma" w:cs="Tahoma"/>
                <w:color w:val="000000"/>
                <w:sz w:val="18"/>
                <w:szCs w:val="18"/>
                <w:lang w:eastAsia="ru-RU" w:bidi="ru-RU"/>
              </w:rPr>
              <w:tab/>
            </w:r>
          </w:p>
        </w:tc>
        <w:tc>
          <w:tcPr>
            <w:tcW w:w="1571" w:type="dxa"/>
            <w:tcBorders>
              <w:top w:val="nil"/>
              <w:left w:val="nil"/>
              <w:bottom w:val="nil"/>
              <w:right w:val="nil"/>
            </w:tcBorders>
            <w:vAlign w:val="bottom"/>
          </w:tcPr>
          <w:p w:rsidR="00743CE5" w:rsidRPr="00743CE5" w:rsidRDefault="00743CE5" w:rsidP="00743CE5">
            <w:pPr>
              <w:widowControl w:val="0"/>
              <w:tabs>
                <w:tab w:val="right" w:pos="1274"/>
                <w:tab w:val="left" w:pos="1416"/>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 xml:space="preserve">   42,147,472</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1274"/>
                <w:tab w:val="left" w:pos="1416"/>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(46,130,984)</w:t>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года</w:t>
            </w:r>
            <w:r w:rsidRPr="00743CE5">
              <w:rPr>
                <w:rFonts w:ascii="Tahoma" w:eastAsia="Times New Roman" w:hAnsi="Tahoma" w:cs="Tahoma"/>
                <w:color w:val="000000"/>
                <w:sz w:val="18"/>
                <w:szCs w:val="18"/>
                <w:lang w:eastAsia="ru-RU" w:bidi="ru-RU"/>
              </w:rPr>
              <w:t xml:space="preserve"> </w:t>
            </w:r>
          </w:p>
        </w:tc>
        <w:tc>
          <w:tcPr>
            <w:tcW w:w="166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8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25"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w:t>
            </w:r>
          </w:p>
        </w:tc>
        <w:tc>
          <w:tcPr>
            <w:tcW w:w="1665" w:type="dxa"/>
            <w:tcBorders>
              <w:top w:val="nil"/>
              <w:left w:val="nil"/>
              <w:bottom w:val="nil"/>
              <w:right w:val="nil"/>
            </w:tcBorders>
            <w:vAlign w:val="bottom"/>
          </w:tcPr>
          <w:p w:rsidR="00743CE5" w:rsidRPr="00743CE5" w:rsidRDefault="00743CE5" w:rsidP="00743CE5">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35,944,600</w:t>
            </w:r>
            <w:r w:rsidRPr="00743CE5">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43CE5" w:rsidRPr="00743CE5" w:rsidRDefault="00743CE5" w:rsidP="00743CE5">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19,349,113</w:t>
            </w:r>
            <w:r w:rsidRPr="00743CE5">
              <w:rPr>
                <w:rFonts w:ascii="Tahoma" w:eastAsia="Times New Roman" w:hAnsi="Tahoma" w:cs="Tahoma"/>
                <w:color w:val="000000"/>
                <w:sz w:val="18"/>
                <w:szCs w:val="18"/>
                <w:lang w:eastAsia="ru-RU" w:bidi="ru-RU"/>
              </w:rPr>
              <w:tab/>
            </w:r>
          </w:p>
        </w:tc>
        <w:tc>
          <w:tcPr>
            <w:tcW w:w="1571" w:type="dxa"/>
            <w:tcBorders>
              <w:top w:val="nil"/>
              <w:left w:val="nil"/>
              <w:bottom w:val="nil"/>
              <w:right w:val="nil"/>
            </w:tcBorders>
            <w:vAlign w:val="bottom"/>
          </w:tcPr>
          <w:p w:rsidR="00743CE5" w:rsidRPr="00743CE5" w:rsidRDefault="00743CE5" w:rsidP="00743CE5">
            <w:pPr>
              <w:widowControl w:val="0"/>
              <w:tabs>
                <w:tab w:val="right" w:pos="1464"/>
                <w:tab w:val="left" w:pos="14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30,275,032</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1418"/>
                <w:tab w:val="left" w:pos="1444"/>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85,568,745</w:t>
            </w:r>
            <w:r w:rsidRPr="00743CE5">
              <w:rPr>
                <w:rFonts w:ascii="Tahoma" w:eastAsia="Times New Roman" w:hAnsi="Tahoma" w:cs="Tahoma"/>
                <w:color w:val="000000"/>
                <w:sz w:val="18"/>
                <w:szCs w:val="18"/>
                <w:lang w:eastAsia="ru-RU" w:bidi="ru-RU"/>
              </w:rPr>
              <w:tab/>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w:t>
            </w:r>
          </w:p>
        </w:tc>
        <w:tc>
          <w:tcPr>
            <w:tcW w:w="1665" w:type="dxa"/>
            <w:tcBorders>
              <w:top w:val="nil"/>
              <w:left w:val="nil"/>
              <w:bottom w:val="nil"/>
              <w:right w:val="nil"/>
            </w:tcBorders>
            <w:vAlign w:val="bottom"/>
          </w:tcPr>
          <w:p w:rsidR="00743CE5" w:rsidRPr="00743CE5" w:rsidRDefault="00743CE5" w:rsidP="00743CE5">
            <w:pPr>
              <w:widowControl w:val="0"/>
              <w:tabs>
                <w:tab w:val="right" w:pos="1406"/>
                <w:tab w:val="left" w:pos="1432"/>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(53,865,626)</w:t>
            </w:r>
            <w:r w:rsidRPr="00743CE5">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43CE5" w:rsidRPr="00743CE5" w:rsidRDefault="00743CE5" w:rsidP="00743CE5">
            <w:pPr>
              <w:widowControl w:val="0"/>
              <w:tabs>
                <w:tab w:val="right" w:pos="1378"/>
                <w:tab w:val="left" w:pos="1404"/>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c>
          <w:tcPr>
            <w:tcW w:w="1571" w:type="dxa"/>
            <w:tcBorders>
              <w:top w:val="nil"/>
              <w:left w:val="nil"/>
              <w:bottom w:val="nil"/>
              <w:right w:val="nil"/>
            </w:tcBorders>
            <w:vAlign w:val="bottom"/>
          </w:tcPr>
          <w:p w:rsidR="00743CE5" w:rsidRPr="00743CE5" w:rsidRDefault="00743CE5" w:rsidP="00743CE5">
            <w:pPr>
              <w:widowControl w:val="0"/>
              <w:tabs>
                <w:tab w:val="right" w:pos="1349"/>
                <w:tab w:val="left" w:pos="14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1418"/>
                <w:tab w:val="left" w:pos="1444"/>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(209,615,158)</w:t>
            </w:r>
            <w:r w:rsidRPr="00743CE5">
              <w:rPr>
                <w:rFonts w:ascii="Tahoma" w:eastAsia="Times New Roman" w:hAnsi="Tahoma" w:cs="Tahoma"/>
                <w:color w:val="000000"/>
                <w:sz w:val="18"/>
                <w:szCs w:val="18"/>
                <w:lang w:eastAsia="ru-RU" w:bidi="ru-RU"/>
              </w:rPr>
              <w:tab/>
            </w:r>
          </w:p>
        </w:tc>
      </w:tr>
      <w:tr w:rsidR="00743CE5" w:rsidRPr="00743CE5" w:rsidTr="00CB150F">
        <w:tc>
          <w:tcPr>
            <w:tcW w:w="3261" w:type="dxa"/>
            <w:tcBorders>
              <w:top w:val="nil"/>
              <w:left w:val="nil"/>
              <w:bottom w:val="nil"/>
              <w:right w:val="nil"/>
            </w:tcBorders>
          </w:tcPr>
          <w:p w:rsidR="00743CE5" w:rsidRPr="00743CE5" w:rsidRDefault="00743CE5" w:rsidP="00743CE5">
            <w:pPr>
              <w:widowControl w:val="0"/>
              <w:tabs>
                <w:tab w:val="left" w:pos="719"/>
                <w:tab w:val="left" w:pos="1439"/>
                <w:tab w:val="left" w:pos="2159"/>
                <w:tab w:val="left" w:pos="2879"/>
                <w:tab w:val="left" w:pos="3599"/>
              </w:tabs>
              <w:autoSpaceDE w:val="0"/>
              <w:autoSpaceDN w:val="0"/>
              <w:adjustRightInd w:val="0"/>
              <w:spacing w:after="0" w:line="36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 xml:space="preserve"> </w:t>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t>Чистый разрыв по процентным ставкам на 31 декабря 2012 года</w:t>
            </w:r>
            <w:r w:rsidRPr="00743CE5">
              <w:rPr>
                <w:rFonts w:ascii="Tahoma" w:eastAsia="Times New Roman" w:hAnsi="Tahoma" w:cs="Tahoma"/>
                <w:b/>
                <w:bCs/>
                <w:color w:val="000000"/>
                <w:sz w:val="18"/>
                <w:szCs w:val="18"/>
                <w:lang w:eastAsia="ru-RU" w:bidi="ru-RU"/>
              </w:rPr>
              <w:tab/>
            </w:r>
          </w:p>
        </w:tc>
        <w:tc>
          <w:tcPr>
            <w:tcW w:w="1665" w:type="dxa"/>
            <w:tcBorders>
              <w:top w:val="nil"/>
              <w:left w:val="nil"/>
              <w:bottom w:val="nil"/>
              <w:right w:val="nil"/>
            </w:tcBorders>
            <w:vAlign w:val="bottom"/>
          </w:tcPr>
          <w:p w:rsidR="00743CE5" w:rsidRPr="00743CE5" w:rsidRDefault="00743CE5" w:rsidP="00743CE5">
            <w:pPr>
              <w:widowControl w:val="0"/>
              <w:tabs>
                <w:tab w:val="right" w:pos="1406"/>
                <w:tab w:val="left" w:pos="1432"/>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(17,921,026)</w:t>
            </w:r>
            <w:r w:rsidRPr="00743CE5">
              <w:rPr>
                <w:rFonts w:ascii="Tahoma" w:eastAsia="Times New Roman" w:hAnsi="Tahoma" w:cs="Tahoma"/>
                <w:color w:val="000000"/>
                <w:sz w:val="18"/>
                <w:szCs w:val="18"/>
                <w:lang w:eastAsia="ru-RU" w:bidi="ru-RU"/>
              </w:rPr>
              <w:tab/>
            </w:r>
          </w:p>
        </w:tc>
        <w:tc>
          <w:tcPr>
            <w:tcW w:w="1485" w:type="dxa"/>
            <w:tcBorders>
              <w:top w:val="nil"/>
              <w:left w:val="nil"/>
              <w:bottom w:val="nil"/>
              <w:right w:val="nil"/>
            </w:tcBorders>
            <w:vAlign w:val="bottom"/>
          </w:tcPr>
          <w:p w:rsidR="00743CE5" w:rsidRPr="00743CE5" w:rsidRDefault="00743CE5" w:rsidP="00743CE5">
            <w:pPr>
              <w:widowControl w:val="0"/>
              <w:tabs>
                <w:tab w:val="right" w:pos="1378"/>
                <w:tab w:val="left" w:pos="1404"/>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(136,400,419)</w:t>
            </w:r>
            <w:r w:rsidRPr="00743CE5">
              <w:rPr>
                <w:rFonts w:ascii="Tahoma" w:eastAsia="Times New Roman" w:hAnsi="Tahoma" w:cs="Tahoma"/>
                <w:color w:val="000000"/>
                <w:sz w:val="18"/>
                <w:szCs w:val="18"/>
                <w:lang w:eastAsia="ru-RU" w:bidi="ru-RU"/>
              </w:rPr>
              <w:tab/>
            </w:r>
          </w:p>
        </w:tc>
        <w:tc>
          <w:tcPr>
            <w:tcW w:w="1571" w:type="dxa"/>
            <w:tcBorders>
              <w:top w:val="nil"/>
              <w:left w:val="nil"/>
              <w:bottom w:val="nil"/>
              <w:right w:val="nil"/>
            </w:tcBorders>
            <w:vAlign w:val="bottom"/>
          </w:tcPr>
          <w:p w:rsidR="00743CE5" w:rsidRPr="00743CE5" w:rsidRDefault="00743CE5" w:rsidP="00743CE5">
            <w:pPr>
              <w:widowControl w:val="0"/>
              <w:tabs>
                <w:tab w:val="right" w:pos="1464"/>
                <w:tab w:val="left" w:pos="1490"/>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30,275,032</w:t>
            </w:r>
            <w:r w:rsidRPr="00743CE5">
              <w:rPr>
                <w:rFonts w:ascii="Tahoma" w:eastAsia="Times New Roman" w:hAnsi="Tahoma" w:cs="Tahoma"/>
                <w:color w:val="000000"/>
                <w:sz w:val="18"/>
                <w:szCs w:val="18"/>
                <w:lang w:eastAsia="ru-RU" w:bidi="ru-RU"/>
              </w:rPr>
              <w:tab/>
            </w:r>
          </w:p>
        </w:tc>
        <w:tc>
          <w:tcPr>
            <w:tcW w:w="1525" w:type="dxa"/>
            <w:tcBorders>
              <w:top w:val="nil"/>
              <w:left w:val="nil"/>
              <w:bottom w:val="nil"/>
              <w:right w:val="nil"/>
            </w:tcBorders>
            <w:vAlign w:val="bottom"/>
          </w:tcPr>
          <w:p w:rsidR="00743CE5" w:rsidRPr="00743CE5" w:rsidRDefault="00743CE5" w:rsidP="00743CE5">
            <w:pPr>
              <w:widowControl w:val="0"/>
              <w:tabs>
                <w:tab w:val="right" w:pos="1418"/>
                <w:tab w:val="left" w:pos="1444"/>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(124,046,413)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 Управление финансовыми рисками (продолжение)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3.2 Кредитный риск</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Кредитный риск связан с невыполнением контрагентами своих обязательств, что может привести к уменьшению суммы будущих денежных потоков, генерируемых финансовыми активами, имеющимися в наличии на отчетную дату. Остатки денежных средств размещены в финансовых учреждениях, имеющих высокий кредитный рейтинг, и Компания имеет политику для ограничения кредитного риска финансовых учреждений. Информация о кредитных рейтингах банков-контрагентов и кредитном качестве финансовых активов представлена в Примечании 14.</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3.3 Риск ликвидности</w:t>
      </w:r>
      <w:r w:rsidRPr="00743CE5">
        <w:rPr>
          <w:rFonts w:ascii="Tahoma" w:eastAsia="Times New Roman" w:hAnsi="Tahoma" w:cs="Tahoma"/>
          <w:color w:val="00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Риск ликвидности представляет собой риск несовпадения сроков требования по активам и обязательствам. Несовпадение данных позиций потенциально повышает прибыльность деятельности, а вместе с этим одновременно повышается риск получения убытков. Компания применяет специальные процедуры, предназначенные для минимизации убытков, в том числе путем обеспечения адекватного уровня денежных потоков и прочих высоколиквидных краткосрочных активов.</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таблице ниже представлен анализ финансовых обязательств по срокам погашения, включая расчетные процентные платежи: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548"/>
        <w:gridCol w:w="1138"/>
        <w:gridCol w:w="1138"/>
        <w:gridCol w:w="1137"/>
        <w:gridCol w:w="1138"/>
        <w:gridCol w:w="1137"/>
        <w:gridCol w:w="1138"/>
      </w:tblGrid>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2014 года</w:t>
            </w:r>
          </w:p>
        </w:tc>
        <w:tc>
          <w:tcPr>
            <w:tcW w:w="1138" w:type="dxa"/>
            <w:tcBorders>
              <w:top w:val="nil"/>
              <w:left w:val="nil"/>
              <w:bottom w:val="nil"/>
              <w:right w:val="nil"/>
            </w:tcBorders>
            <w:vAlign w:val="bottom"/>
          </w:tcPr>
          <w:p w:rsidR="00743CE5" w:rsidRPr="00743CE5" w:rsidRDefault="00743CE5" w:rsidP="00743CE5">
            <w:pPr>
              <w:widowControl w:val="0"/>
              <w:tabs>
                <w:tab w:val="right" w:pos="1373"/>
                <w:tab w:val="left" w:pos="139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Балансовая стоимость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757"/>
                <w:tab w:val="left" w:pos="178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Договорные потоки денежных средств</w:t>
            </w:r>
          </w:p>
        </w:tc>
        <w:tc>
          <w:tcPr>
            <w:tcW w:w="1137" w:type="dxa"/>
            <w:tcBorders>
              <w:top w:val="nil"/>
              <w:left w:val="nil"/>
              <w:bottom w:val="nil"/>
              <w:right w:val="nil"/>
            </w:tcBorders>
            <w:vAlign w:val="bottom"/>
          </w:tcPr>
          <w:p w:rsidR="00743CE5" w:rsidRPr="00743CE5" w:rsidRDefault="00743CE5" w:rsidP="00743CE5">
            <w:pPr>
              <w:widowControl w:val="0"/>
              <w:tabs>
                <w:tab w:val="right" w:pos="1284"/>
                <w:tab w:val="left" w:pos="131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месяца или менее</w:t>
            </w:r>
          </w:p>
        </w:tc>
        <w:tc>
          <w:tcPr>
            <w:tcW w:w="1138" w:type="dxa"/>
            <w:tcBorders>
              <w:top w:val="nil"/>
              <w:left w:val="nil"/>
              <w:bottom w:val="nil"/>
              <w:right w:val="nil"/>
            </w:tcBorders>
            <w:vAlign w:val="bottom"/>
          </w:tcPr>
          <w:p w:rsidR="00743CE5" w:rsidRPr="00743CE5" w:rsidRDefault="00743CE5" w:rsidP="00743CE5">
            <w:pPr>
              <w:widowControl w:val="0"/>
              <w:tabs>
                <w:tab w:val="right" w:pos="1716"/>
                <w:tab w:val="left" w:pos="174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3 до 12 месяцев</w:t>
            </w:r>
            <w:r w:rsidRPr="00743CE5">
              <w:rPr>
                <w:rFonts w:ascii="Tahoma" w:eastAsia="Times New Roman" w:hAnsi="Tahoma" w:cs="Tahoma"/>
                <w:color w:val="000000"/>
                <w:sz w:val="18"/>
                <w:szCs w:val="18"/>
                <w:lang w:eastAsia="ru-RU" w:bidi="ru-RU"/>
              </w:rPr>
              <w:noBreakHyphen/>
            </w:r>
          </w:p>
        </w:tc>
        <w:tc>
          <w:tcPr>
            <w:tcW w:w="1137"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1 до 5 лет</w:t>
            </w:r>
          </w:p>
        </w:tc>
        <w:tc>
          <w:tcPr>
            <w:tcW w:w="1138" w:type="dxa"/>
            <w:tcBorders>
              <w:top w:val="nil"/>
              <w:left w:val="nil"/>
              <w:bottom w:val="nil"/>
              <w:right w:val="nil"/>
            </w:tcBorders>
            <w:vAlign w:val="bottom"/>
          </w:tcPr>
          <w:p w:rsidR="00743CE5" w:rsidRPr="00743CE5" w:rsidRDefault="00743CE5" w:rsidP="00743CE5">
            <w:pPr>
              <w:widowControl w:val="0"/>
              <w:tabs>
                <w:tab w:val="right" w:pos="1409"/>
                <w:tab w:val="left" w:pos="1435"/>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42,060,736</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51,657,550</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29,923</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51,627,627</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1,325,777</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1,325,777</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1,325,777</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58,281,964</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58,281,964</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58,281,964</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полученные от связанных сторон</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250,928,636</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289,960,900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94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793,735</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126,614,438</w:t>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162,552,727</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352,597,115</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401,226,193</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60,431,401</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178,242,065</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162,552,727</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2548"/>
        <w:gridCol w:w="1138"/>
        <w:gridCol w:w="1138"/>
        <w:gridCol w:w="1137"/>
        <w:gridCol w:w="1138"/>
        <w:gridCol w:w="1137"/>
        <w:gridCol w:w="1138"/>
      </w:tblGrid>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года</w:t>
            </w:r>
          </w:p>
        </w:tc>
        <w:tc>
          <w:tcPr>
            <w:tcW w:w="1138" w:type="dxa"/>
            <w:tcBorders>
              <w:top w:val="nil"/>
              <w:left w:val="nil"/>
              <w:bottom w:val="nil"/>
              <w:right w:val="nil"/>
            </w:tcBorders>
            <w:vAlign w:val="bottom"/>
          </w:tcPr>
          <w:p w:rsidR="00743CE5" w:rsidRPr="00743CE5" w:rsidRDefault="00743CE5" w:rsidP="00743CE5">
            <w:pPr>
              <w:widowControl w:val="0"/>
              <w:tabs>
                <w:tab w:val="right" w:pos="1373"/>
                <w:tab w:val="left" w:pos="1399"/>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Балансовая стоимость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757"/>
                <w:tab w:val="left" w:pos="178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Договорные потоки денежных средств</w:t>
            </w:r>
          </w:p>
        </w:tc>
        <w:tc>
          <w:tcPr>
            <w:tcW w:w="1137" w:type="dxa"/>
            <w:tcBorders>
              <w:top w:val="nil"/>
              <w:left w:val="nil"/>
              <w:bottom w:val="nil"/>
              <w:right w:val="nil"/>
            </w:tcBorders>
            <w:vAlign w:val="bottom"/>
          </w:tcPr>
          <w:p w:rsidR="00743CE5" w:rsidRPr="00743CE5" w:rsidRDefault="00743CE5" w:rsidP="00743CE5">
            <w:pPr>
              <w:widowControl w:val="0"/>
              <w:tabs>
                <w:tab w:val="right" w:pos="1284"/>
                <w:tab w:val="left" w:pos="131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месяца или менее</w:t>
            </w:r>
          </w:p>
        </w:tc>
        <w:tc>
          <w:tcPr>
            <w:tcW w:w="1138" w:type="dxa"/>
            <w:tcBorders>
              <w:top w:val="nil"/>
              <w:left w:val="nil"/>
              <w:bottom w:val="nil"/>
              <w:right w:val="nil"/>
            </w:tcBorders>
            <w:vAlign w:val="bottom"/>
          </w:tcPr>
          <w:p w:rsidR="00743CE5" w:rsidRPr="00743CE5" w:rsidRDefault="00743CE5" w:rsidP="00743CE5">
            <w:pPr>
              <w:widowControl w:val="0"/>
              <w:tabs>
                <w:tab w:val="right" w:pos="1716"/>
                <w:tab w:val="left" w:pos="174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3 до 12 месяцев</w:t>
            </w:r>
            <w:r w:rsidRPr="00743CE5">
              <w:rPr>
                <w:rFonts w:ascii="Tahoma" w:eastAsia="Times New Roman" w:hAnsi="Tahoma" w:cs="Tahoma"/>
                <w:color w:val="000000"/>
                <w:sz w:val="18"/>
                <w:szCs w:val="18"/>
                <w:lang w:eastAsia="ru-RU" w:bidi="ru-RU"/>
              </w:rPr>
              <w:noBreakHyphen/>
            </w:r>
          </w:p>
        </w:tc>
        <w:tc>
          <w:tcPr>
            <w:tcW w:w="1137" w:type="dxa"/>
            <w:tcBorders>
              <w:top w:val="nil"/>
              <w:left w:val="nil"/>
              <w:bottom w:val="nil"/>
              <w:right w:val="nil"/>
            </w:tcBorders>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1 до 5 лет</w:t>
            </w:r>
            <w:r w:rsidRPr="00743CE5">
              <w:rPr>
                <w:rFonts w:ascii="Tahoma" w:eastAsia="Times New Roman" w:hAnsi="Tahoma" w:cs="Tahoma"/>
                <w:color w:val="000000"/>
                <w:sz w:val="18"/>
                <w:szCs w:val="18"/>
                <w:lang w:eastAsia="ru-RU" w:bidi="ru-RU"/>
              </w:rPr>
              <w:noBreakHyphen/>
            </w:r>
          </w:p>
        </w:tc>
        <w:tc>
          <w:tcPr>
            <w:tcW w:w="1138" w:type="dxa"/>
            <w:tcBorders>
              <w:top w:val="nil"/>
              <w:left w:val="nil"/>
              <w:bottom w:val="nil"/>
              <w:right w:val="nil"/>
            </w:tcBorders>
            <w:vAlign w:val="bottom"/>
          </w:tcPr>
          <w:p w:rsidR="00743CE5" w:rsidRPr="00743CE5" w:rsidRDefault="00743CE5" w:rsidP="00743CE5">
            <w:pPr>
              <w:widowControl w:val="0"/>
              <w:tabs>
                <w:tab w:val="right" w:pos="1409"/>
                <w:tab w:val="left" w:pos="1435"/>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13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10,002,466</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10,109,178</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10,109,178</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ind w:right="90"/>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1,395,122</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связанными сторонами</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46,277,003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46,277,003</w:t>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46,277,003</w:t>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 полученные от связанных сторон</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199,612,692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228,696,283</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917"/>
                <w:tab w:val="left" w:pos="949"/>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46,944,070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181,752,213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548"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257,287,283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286,477,586</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57,781,303</w:t>
            </w:r>
          </w:p>
        </w:tc>
        <w:tc>
          <w:tcPr>
            <w:tcW w:w="1138"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46,944,070</w:t>
            </w:r>
            <w:r w:rsidRPr="00743CE5">
              <w:rPr>
                <w:rFonts w:ascii="Tahoma" w:eastAsia="Times New Roman" w:hAnsi="Tahoma" w:cs="Tahoma"/>
                <w:color w:val="000000"/>
                <w:sz w:val="18"/>
                <w:szCs w:val="18"/>
                <w:lang w:eastAsia="ru-RU" w:bidi="ru-RU"/>
              </w:rPr>
              <w:tab/>
            </w:r>
          </w:p>
        </w:tc>
        <w:tc>
          <w:tcPr>
            <w:tcW w:w="1137" w:type="dxa"/>
            <w:tcBorders>
              <w:top w:val="nil"/>
              <w:left w:val="nil"/>
              <w:bottom w:val="nil"/>
              <w:right w:val="nil"/>
            </w:tcBorders>
            <w:vAlign w:val="bottom"/>
          </w:tcPr>
          <w:p w:rsidR="00743CE5" w:rsidRPr="00743CE5" w:rsidRDefault="00743CE5" w:rsidP="00743CE5">
            <w:pPr>
              <w:widowControl w:val="0"/>
              <w:tabs>
                <w:tab w:val="right" w:pos="1032"/>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181,752,213</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vAlign w:val="bottom"/>
          </w:tcPr>
          <w:p w:rsidR="00743CE5" w:rsidRPr="00743CE5" w:rsidRDefault="00743CE5" w:rsidP="00743CE5">
            <w:pPr>
              <w:widowControl w:val="0"/>
              <w:tabs>
                <w:tab w:val="right" w:pos="917"/>
                <w:tab w:val="left" w:pos="1058"/>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3.4. Валютный риск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Валютный риск представляет собой риск изменения стоимости финансовых инструментов в связи с изменением обменных курсов валют. Валютный риск возникает в том случае, когда срочные коммерческие сделки и отражаемые активы и обязательства деноминированы в валюте, отличной от валюты представления финансовой отчетности Компании. Компания подвержена валютному риску, связанному с различными иностранными валютами, в основном евро, фунтами стерлингов и рублями. Руководство Компании контролирует изменения валютных курсов на непрерывной основе и предпринимает соответствующие действия для минимизации риска.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 Управление финансовыми рисками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таблице ниже представлен общий анализ валютного риска Компании: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88" w:type="dxa"/>
        <w:tblInd w:w="39" w:type="dxa"/>
        <w:tblLayout w:type="fixed"/>
        <w:tblCellMar>
          <w:left w:w="39" w:type="dxa"/>
          <w:right w:w="39" w:type="dxa"/>
        </w:tblCellMar>
        <w:tblLook w:val="0000" w:firstRow="0" w:lastRow="0" w:firstColumn="0" w:lastColumn="0" w:noHBand="0" w:noVBand="0"/>
      </w:tblPr>
      <w:tblGrid>
        <w:gridCol w:w="5544"/>
        <w:gridCol w:w="1281"/>
        <w:gridCol w:w="1282"/>
        <w:gridCol w:w="1281"/>
      </w:tblGrid>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2014 года</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Евро</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81"/>
                <w:tab w:val="left" w:pos="1207"/>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Российский рубль</w:t>
            </w:r>
          </w:p>
        </w:tc>
        <w:tc>
          <w:tcPr>
            <w:tcW w:w="1281" w:type="dxa"/>
            <w:tcBorders>
              <w:top w:val="nil"/>
              <w:left w:val="nil"/>
              <w:bottom w:val="nil"/>
              <w:right w:val="nil"/>
            </w:tcBorders>
            <w:vAlign w:val="bottom"/>
          </w:tcPr>
          <w:p w:rsidR="00743CE5" w:rsidRPr="00743CE5" w:rsidRDefault="00743CE5" w:rsidP="00743CE5">
            <w:pPr>
              <w:widowControl w:val="0"/>
              <w:tabs>
                <w:tab w:val="right" w:pos="1786"/>
                <w:tab w:val="left" w:pos="1812"/>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 стерлингов</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Активы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5,508</w:t>
            </w:r>
          </w:p>
        </w:tc>
        <w:tc>
          <w:tcPr>
            <w:tcW w:w="1282" w:type="dxa"/>
            <w:tcBorders>
              <w:top w:val="nil"/>
              <w:left w:val="nil"/>
              <w:bottom w:val="nil"/>
              <w:right w:val="nil"/>
            </w:tcBorders>
            <w:vAlign w:val="bottom"/>
          </w:tcPr>
          <w:p w:rsidR="00743CE5" w:rsidRPr="00743CE5" w:rsidRDefault="00743CE5" w:rsidP="00743CE5">
            <w:pPr>
              <w:widowControl w:val="0"/>
              <w:tabs>
                <w:tab w:val="left" w:pos="1074"/>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5,007</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374,744</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4,509,443</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16,822,091</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380,252</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21,336,541</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Обязательства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(3,796,632)</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(13,013)</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(112,073)</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по займам</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(66,948,667)</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овердрафты</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(3,796,671)</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(66,961,680)</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(112,073)</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Чистая подверженность риску</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u w:val="double"/>
                <w:lang w:eastAsia="ru-RU" w:bidi="ru-RU"/>
              </w:rPr>
              <w:t xml:space="preserve">   (3,416,419)</w:t>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u w:val="double"/>
                <w:lang w:eastAsia="ru-RU" w:bidi="ru-RU"/>
              </w:rPr>
              <w:t xml:space="preserve">  (45,625,139)</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 xml:space="preserve">     (112,073)</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firstLine="719"/>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firstLine="719"/>
        <w:rPr>
          <w:rFonts w:ascii="Tahoma" w:eastAsia="Times New Roman" w:hAnsi="Tahoma" w:cs="Tahoma"/>
          <w:color w:val="000000"/>
          <w:sz w:val="18"/>
          <w:szCs w:val="18"/>
          <w:lang w:eastAsia="ru-RU" w:bidi="ru-RU"/>
        </w:rPr>
      </w:pPr>
    </w:p>
    <w:tbl>
      <w:tblPr>
        <w:tblW w:w="9388" w:type="dxa"/>
        <w:tblInd w:w="39" w:type="dxa"/>
        <w:tblLayout w:type="fixed"/>
        <w:tblCellMar>
          <w:left w:w="39" w:type="dxa"/>
          <w:right w:w="39" w:type="dxa"/>
        </w:tblCellMar>
        <w:tblLook w:val="0000" w:firstRow="0" w:lastRow="0" w:firstColumn="0" w:lastColumn="0" w:noHBand="0" w:noVBand="0"/>
      </w:tblPr>
      <w:tblGrid>
        <w:gridCol w:w="5544"/>
        <w:gridCol w:w="1281"/>
        <w:gridCol w:w="1282"/>
        <w:gridCol w:w="1281"/>
      </w:tblGrid>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 декабря 2013 года</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Евро</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81"/>
                <w:tab w:val="left" w:pos="1207"/>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Российский рубль</w:t>
            </w:r>
          </w:p>
        </w:tc>
        <w:tc>
          <w:tcPr>
            <w:tcW w:w="1281" w:type="dxa"/>
            <w:tcBorders>
              <w:top w:val="nil"/>
              <w:left w:val="nil"/>
              <w:bottom w:val="nil"/>
              <w:right w:val="nil"/>
            </w:tcBorders>
            <w:vAlign w:val="bottom"/>
          </w:tcPr>
          <w:p w:rsidR="00743CE5" w:rsidRPr="00743CE5" w:rsidRDefault="00743CE5" w:rsidP="00743CE5">
            <w:pPr>
              <w:widowControl w:val="0"/>
              <w:tabs>
                <w:tab w:val="right" w:pos="1786"/>
                <w:tab w:val="left" w:pos="1812"/>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 стерлингов</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Активы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18,882</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2,671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15,737,178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1,436,095</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4,432,791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297,780</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1,454,977</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20,172,640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297,780</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Обязательства </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(205,777)</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(21,083)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овердрафты</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(39)</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(205,816)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(21,083)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5544"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Чистая подверженность риску</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1,249,161</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20,151,557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297,780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Анализ чувствительности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 состоянию на 31 декабря 2014 г., укрепление доллара США на 10% (2013 г.: 10%) относительно следующих валют привело бы к увеличению (уменьшению) капитала и прибыли или убытка на суммы, указанные ниже. Этот анализ основан на допущении о том, что все прочие переменные характеристики, в частности</w:t>
      </w:r>
      <w:proofErr w:type="gramStart"/>
      <w:r w:rsidRPr="00743CE5">
        <w:rPr>
          <w:rFonts w:ascii="Tahoma" w:eastAsia="Times New Roman" w:hAnsi="Tahoma" w:cs="Tahoma"/>
          <w:color w:val="000000"/>
          <w:sz w:val="18"/>
          <w:szCs w:val="18"/>
          <w:lang w:eastAsia="ru-RU" w:bidi="ru-RU"/>
        </w:rPr>
        <w:t>,</w:t>
      </w:r>
      <w:proofErr w:type="gramEnd"/>
      <w:r w:rsidRPr="00743CE5">
        <w:rPr>
          <w:rFonts w:ascii="Tahoma" w:eastAsia="Times New Roman" w:hAnsi="Tahoma" w:cs="Tahoma"/>
          <w:color w:val="000000"/>
          <w:sz w:val="18"/>
          <w:szCs w:val="18"/>
          <w:lang w:eastAsia="ru-RU" w:bidi="ru-RU"/>
        </w:rPr>
        <w:t xml:space="preserve"> процентные ставки, остаются неизменными. При ослаблении доллара США относительно соответствующей валюты на 10% будет наблюдаться аналогичный, но противоположный по знаку эффект на прибыль и капитал.</w:t>
      </w:r>
    </w:p>
    <w:tbl>
      <w:tblPr>
        <w:tblW w:w="0" w:type="auto"/>
        <w:tblInd w:w="39" w:type="dxa"/>
        <w:tblLayout w:type="fixed"/>
        <w:tblCellMar>
          <w:left w:w="39" w:type="dxa"/>
          <w:right w:w="39" w:type="dxa"/>
        </w:tblCellMar>
        <w:tblLook w:val="0000" w:firstRow="0" w:lastRow="0" w:firstColumn="0" w:lastColumn="0" w:noHBand="0" w:noVBand="0"/>
      </w:tblPr>
      <w:tblGrid>
        <w:gridCol w:w="6521"/>
        <w:gridCol w:w="1557"/>
        <w:gridCol w:w="1281"/>
      </w:tblGrid>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838" w:type="dxa"/>
            <w:gridSpan w:val="2"/>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Прибыль или убыток</w:t>
            </w:r>
          </w:p>
        </w:tc>
      </w:tr>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Евро</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(341,642)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124,920</w:t>
            </w:r>
            <w:r w:rsidRPr="00743CE5">
              <w:rPr>
                <w:rFonts w:ascii="Tahoma" w:eastAsia="Times New Roman" w:hAnsi="Tahoma" w:cs="Tahoma"/>
                <w:color w:val="000000"/>
                <w:sz w:val="18"/>
                <w:szCs w:val="18"/>
                <w:lang w:eastAsia="ru-RU" w:bidi="ru-RU"/>
              </w:rPr>
              <w:tab/>
            </w:r>
          </w:p>
        </w:tc>
      </w:tr>
      <w:tr w:rsidR="00743CE5" w:rsidRPr="00743CE5" w:rsidTr="00CB150F">
        <w:trPr>
          <w:trHeight w:val="135"/>
        </w:trPr>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Фунт стерлингов</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(11,207)</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29,778</w:t>
            </w:r>
            <w:r w:rsidRPr="00743CE5">
              <w:rPr>
                <w:rFonts w:ascii="Tahoma" w:eastAsia="Times New Roman" w:hAnsi="Tahoma" w:cs="Tahoma"/>
                <w:color w:val="000000"/>
                <w:sz w:val="18"/>
                <w:szCs w:val="18"/>
                <w:lang w:eastAsia="ru-RU" w:bidi="ru-RU"/>
              </w:rPr>
              <w:tab/>
            </w:r>
          </w:p>
        </w:tc>
      </w:tr>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Российский рубль</w:t>
            </w: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(4,562,514)</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2,015,155</w:t>
            </w:r>
            <w:r w:rsidRPr="00743CE5">
              <w:rPr>
                <w:rFonts w:ascii="Tahoma" w:eastAsia="Times New Roman" w:hAnsi="Tahoma" w:cs="Tahoma"/>
                <w:color w:val="000000"/>
                <w:sz w:val="18"/>
                <w:szCs w:val="18"/>
                <w:lang w:eastAsia="ru-RU" w:bidi="ru-RU"/>
              </w:rPr>
              <w:tab/>
            </w:r>
          </w:p>
        </w:tc>
      </w:tr>
      <w:tr w:rsidR="00743CE5" w:rsidRPr="00743CE5" w:rsidTr="00CB150F">
        <w:tc>
          <w:tcPr>
            <w:tcW w:w="6521"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7"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(4,915,363)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2,169,853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3. Управление финансовыми рисками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3.5 Управление риском капитала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Задачей Компании в области управления капиталом является обеспечение способности Компании продолжать непрерывную деятельность в целях сохранения доходности капитала для акционеров и поддержания оптимальной структуры капитала для снижения его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Для поддержания и регулирования структуры капитала Компания может варьировать сумму дивидендов, выплачиваемых акционерам, возвращать капитал акционерам или выпускать новые акции.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осуществляет </w:t>
      </w:r>
      <w:proofErr w:type="gramStart"/>
      <w:r w:rsidRPr="00743CE5">
        <w:rPr>
          <w:rFonts w:ascii="Tahoma" w:eastAsia="Times New Roman" w:hAnsi="Tahoma" w:cs="Tahoma"/>
          <w:color w:val="000000"/>
          <w:sz w:val="18"/>
          <w:szCs w:val="18"/>
          <w:lang w:eastAsia="ru-RU" w:bidi="ru-RU"/>
        </w:rPr>
        <w:t>контроль</w:t>
      </w:r>
      <w:proofErr w:type="gramEnd"/>
      <w:r w:rsidRPr="00743CE5">
        <w:rPr>
          <w:rFonts w:ascii="Tahoma" w:eastAsia="Times New Roman" w:hAnsi="Tahoma" w:cs="Tahoma"/>
          <w:color w:val="000000"/>
          <w:sz w:val="18"/>
          <w:szCs w:val="18"/>
          <w:lang w:eastAsia="ru-RU" w:bidi="ru-RU"/>
        </w:rPr>
        <w:t xml:space="preserve"> за капиталом исходя из соотношения собственных и заемных средств. Этот показатель рассчитывается путем деления чистой суммы задолженности на всю сумму капитала. Чистая сумма задолженности рассчитывается как сумма заемных средств минус средства в банке. Общая сумма капитала рассчитывается как сумма капитала, отражаемая в отчете о финансовом положении, плюс чистая задолженность.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о расчете соотношения собственных и заемных средств Компании представлена в таблице ниже: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Общая сумма заемных средств (Примечание 24)</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292,989,372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209,615,158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 вычетом денежных средств и их эквивалентов (Примечание 22)</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(838,368)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Чистая сумма задолженности</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292,151,004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207,937,042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Итого капитал</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1,219,759,020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1,570,867,736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Общая сумма капитала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1,511,910,024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1,778,804,778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Соотношение собственных и заемных средств</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23,95%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11,69%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Оценка по справедливой стоимости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финансовых активов Компании приблизительно соответствовала их балансовой стоимости на отчетную дату. Справедливая стоимость финансовых инструментов, обращающихся на активных рынках (таких как свободно обращающиеся на рынке торговые финансовые инструменты и финансовые инструменты, имеющиеся в наличии для продажи), основана на рыночных котировках, действующих на отчетную дату. Рыночные котировки, используемые в отношении финансовых активов Компании, представляют собой текущие цены спроса. Рыночные котировки в отношении финансовых обязатель</w:t>
      </w:r>
      <w:proofErr w:type="gramStart"/>
      <w:r w:rsidRPr="00743CE5">
        <w:rPr>
          <w:rFonts w:ascii="Tahoma" w:eastAsia="Times New Roman" w:hAnsi="Tahoma" w:cs="Tahoma"/>
          <w:color w:val="000000"/>
          <w:sz w:val="18"/>
          <w:szCs w:val="18"/>
          <w:lang w:eastAsia="ru-RU" w:bidi="ru-RU"/>
        </w:rPr>
        <w:t>ств пр</w:t>
      </w:r>
      <w:proofErr w:type="gramEnd"/>
      <w:r w:rsidRPr="00743CE5">
        <w:rPr>
          <w:rFonts w:ascii="Tahoma" w:eastAsia="Times New Roman" w:hAnsi="Tahoma" w:cs="Tahoma"/>
          <w:color w:val="000000"/>
          <w:sz w:val="18"/>
          <w:szCs w:val="18"/>
          <w:lang w:eastAsia="ru-RU" w:bidi="ru-RU"/>
        </w:rPr>
        <w:t>едставляют собой текущие цены предложения.</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4. Важные расчетные оценки и профессиональные суждения  </w:t>
      </w: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Расчетные оценки и суждения постоянно анализируются на основе прошлого опыта и других факторов, включая ожидания в отношении будущих событий, которые, по мнению руководства, являются обоснованными в свете текущих обстоятельств.</w:t>
      </w: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keepLines/>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использует оценки и допущения в отношении будущей деятельности. Полученные расчетные оценки, по определению, редко совпадают с фактическими результатами. Ниже описаны оценки и допущения, которые с большой вероятностью могут привести к существенным корректировкам балансовой стоимости активов и обязательств в течение следующего финансового года.</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Оценка обесценения дебиторской задолженности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Компания проводит анализ своей торговой и прочей дебиторской задолженности на предмет наличия доказательств ее возмещения. Такие доказательства включают документ покупателя об оплате и общее финансовое положение покупателя. При наличии признаков невозмещения проводится оценка возмещаемой стоимости и создается соответствующий резерв по безнадежной и сомнительной задолженности. Сумма резерва начисляется через отчет о совокупном доходе. Оценка кредитного риска осуществляется на постоянной основе, и допущения, используемые для оценки резерва, проходят регулярные проверки и корректируются соответственно.</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4. Важные расчетные оценки и профессиональные суждения (продолжение)</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Налог на прибыль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Существенное суждение необходимо применять при создании резерва по налогу на прибыль. В ходе обычной деятельности существуют операции и расчеты, для которых сложно определить итоговую сумму налогов. Компания признает обязательства в отношении фактов, которые могут быть выявлены в ходе налоговых проверок, основываясь на оценках необходимости уплаты дополнительных налогов. Если окончательное фактическое решение вопроса отличается </w:t>
      </w:r>
      <w:proofErr w:type="gramStart"/>
      <w:r w:rsidRPr="00743CE5">
        <w:rPr>
          <w:rFonts w:ascii="Tahoma" w:eastAsia="Times New Roman" w:hAnsi="Tahoma" w:cs="Tahoma"/>
          <w:color w:val="000000"/>
          <w:sz w:val="18"/>
          <w:szCs w:val="18"/>
          <w:lang w:eastAsia="ru-RU" w:bidi="ru-RU"/>
        </w:rPr>
        <w:t>от</w:t>
      </w:r>
      <w:proofErr w:type="gramEnd"/>
      <w:r w:rsidRPr="00743CE5">
        <w:rPr>
          <w:rFonts w:ascii="Tahoma" w:eastAsia="Times New Roman" w:hAnsi="Tahoma" w:cs="Tahoma"/>
          <w:color w:val="000000"/>
          <w:sz w:val="18"/>
          <w:szCs w:val="18"/>
          <w:lang w:eastAsia="ru-RU" w:bidi="ru-RU"/>
        </w:rPr>
        <w:t xml:space="preserve"> изначально ожидаемого, разница будет проведена через расходы по налогу на прибыль и отложенное налогообложение в том периоде, когда принято такое решение.</w:t>
      </w:r>
    </w:p>
    <w:p w:rsidR="00743CE5" w:rsidRPr="00743CE5" w:rsidRDefault="00743CE5" w:rsidP="00743CE5">
      <w:pPr>
        <w:keepLines/>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Оценка инвестиций, не имеющих листинга на фондовой бирже</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Компания использует различные методы для оценки инвестиций, не имеющих листинга на фондовой бирже. Эти методы основаны на допущениях Совета директоров, основанных на рыночной информации на отчетную дату.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1"/>
        </w:numPr>
        <w:autoSpaceDE w:val="0"/>
        <w:autoSpaceDN w:val="0"/>
        <w:adjustRightInd w:val="0"/>
        <w:spacing w:after="0" w:line="240" w:lineRule="auto"/>
        <w:ind w:left="680" w:hanging="680"/>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Функциональная валюта </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Функциональная валюта Компании была определена исходя из экономических условий, лежащих в основе ее хозяйственной деятельности, которая представляет собой финансовую деятельность и </w:t>
      </w:r>
      <w:proofErr w:type="gramStart"/>
      <w:r w:rsidRPr="00743CE5">
        <w:rPr>
          <w:rFonts w:ascii="Tahoma" w:eastAsia="Times New Roman" w:hAnsi="Tahoma" w:cs="Tahoma"/>
          <w:color w:val="000000"/>
          <w:sz w:val="18"/>
          <w:szCs w:val="18"/>
          <w:lang w:eastAsia="ru-RU" w:bidi="ru-RU"/>
        </w:rPr>
        <w:t>покупку</w:t>
      </w:r>
      <w:proofErr w:type="gramEnd"/>
      <w:r w:rsidRPr="00743CE5">
        <w:rPr>
          <w:rFonts w:ascii="Tahoma" w:eastAsia="Times New Roman" w:hAnsi="Tahoma" w:cs="Tahoma"/>
          <w:color w:val="000000"/>
          <w:sz w:val="18"/>
          <w:szCs w:val="18"/>
          <w:lang w:eastAsia="ru-RU" w:bidi="ru-RU"/>
        </w:rPr>
        <w:t xml:space="preserve"> и продажу инвестиций или владение инвестициями. Для определения того, что является конкретными экономическими условиями деятельности, требуются профессиональные суждения. Данное суждение Компании основывается на оценке, помимо прочих факторов, места ведения деятельности, источников выручки и расходов и рисков, связанных с этой деятельностью.</w:t>
      </w: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p>
    <w:p w:rsidR="00743CE5" w:rsidRPr="00743CE5" w:rsidRDefault="00743CE5" w:rsidP="00743CE5">
      <w:pPr>
        <w:keepLines/>
        <w:widowControl w:val="0"/>
        <w:autoSpaceDE w:val="0"/>
        <w:autoSpaceDN w:val="0"/>
        <w:adjustRightInd w:val="0"/>
        <w:spacing w:after="0" w:line="240" w:lineRule="auto"/>
        <w:ind w:left="680"/>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Функциональной валютой Компании является доллар США, поскольку Компания привлекала капитал в долларах США и большая часть инвестиций была приобретена за доллары США.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5. Процентные доходы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 остаткам на банковских счетах</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4,724</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10,390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полученные от третьих сторон</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36,293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1,455,416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Процентные доходы, полученные от связанных сторон (Примечание 27.2)</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7,671,292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11,803,409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7,712,309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13,269,215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6. Прочие доходы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агентского вознаграждения</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637,500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перевыставления расходов</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3,625,911</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3,461,480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Прочие доходы</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3,625,911</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4,098,980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7. Чистые расходы от операций с финансовыми активами, оцениваемыми по справедливой стоимости, изменения которой отражаются в составе прибыли или убытка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949" w:type="dxa"/>
        <w:tblInd w:w="39" w:type="dxa"/>
        <w:tblLayout w:type="fixed"/>
        <w:tblCellMar>
          <w:left w:w="39" w:type="dxa"/>
          <w:right w:w="39" w:type="dxa"/>
        </w:tblCellMar>
        <w:tblLook w:val="0000" w:firstRow="0" w:lastRow="0" w:firstColumn="0" w:lastColumn="0" w:noHBand="0" w:noVBand="0"/>
      </w:tblPr>
      <w:tblGrid>
        <w:gridCol w:w="6804"/>
        <w:gridCol w:w="1701"/>
        <w:gridCol w:w="1444"/>
      </w:tblGrid>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44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4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0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44"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Чистые расходы от выбытия активов, оцениваемых по справедливой стоимости, изменения которой отражаются в составе прибыли или убытка</w:t>
            </w:r>
          </w:p>
        </w:tc>
        <w:tc>
          <w:tcPr>
            <w:tcW w:w="1701" w:type="dxa"/>
            <w:tcBorders>
              <w:top w:val="nil"/>
              <w:left w:val="nil"/>
              <w:bottom w:val="nil"/>
              <w:right w:val="nil"/>
            </w:tcBorders>
            <w:vAlign w:val="bottom"/>
          </w:tcPr>
          <w:p w:rsidR="00743CE5" w:rsidRPr="00743CE5" w:rsidRDefault="00743CE5" w:rsidP="00743CE5">
            <w:pPr>
              <w:widowControl w:val="0"/>
              <w:tabs>
                <w:tab w:val="right" w:pos="1274"/>
                <w:tab w:val="left" w:pos="1416"/>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(87,615,619)</w:t>
            </w:r>
          </w:p>
        </w:tc>
        <w:tc>
          <w:tcPr>
            <w:tcW w:w="1444" w:type="dxa"/>
            <w:tcBorders>
              <w:top w:val="nil"/>
              <w:left w:val="nil"/>
              <w:bottom w:val="nil"/>
              <w:right w:val="nil"/>
            </w:tcBorders>
            <w:vAlign w:val="bottom"/>
          </w:tcPr>
          <w:p w:rsidR="00743CE5" w:rsidRPr="00743CE5" w:rsidRDefault="00743CE5" w:rsidP="00743CE5">
            <w:pPr>
              <w:widowControl w:val="0"/>
              <w:tabs>
                <w:tab w:val="right" w:pos="1390"/>
                <w:tab w:val="left" w:pos="1416"/>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(15,118,055)</w:t>
            </w: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от изменения справедливой стоимости финансовых активов, оцениваемых по справедливой стоимости, изменения которой отражаются в составе прибыли или убытка (Примечание 17)</w:t>
            </w:r>
          </w:p>
        </w:tc>
        <w:tc>
          <w:tcPr>
            <w:tcW w:w="170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(265,650,774)</w:t>
            </w:r>
          </w:p>
        </w:tc>
        <w:tc>
          <w:tcPr>
            <w:tcW w:w="1444"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(340,531,740)</w:t>
            </w:r>
            <w:r w:rsidRPr="00743CE5">
              <w:rPr>
                <w:rFonts w:ascii="Tahoma" w:eastAsia="Times New Roman" w:hAnsi="Tahoma" w:cs="Tahoma"/>
                <w:color w:val="000000"/>
                <w:sz w:val="18"/>
                <w:szCs w:val="18"/>
                <w:lang w:eastAsia="ru-RU" w:bidi="ru-RU"/>
              </w:rPr>
              <w:tab/>
            </w: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(Убыток)/прибыль от изменения справедливой стоимости производных финансовых инструментов</w:t>
            </w:r>
          </w:p>
        </w:tc>
        <w:tc>
          <w:tcPr>
            <w:tcW w:w="170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(1,577,533)</w:t>
            </w:r>
          </w:p>
        </w:tc>
        <w:tc>
          <w:tcPr>
            <w:tcW w:w="1444"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5,473,917</w:t>
            </w:r>
            <w:r w:rsidRPr="00743CE5">
              <w:rPr>
                <w:rFonts w:ascii="Tahoma" w:eastAsia="Times New Roman" w:hAnsi="Tahoma" w:cs="Tahoma"/>
                <w:color w:val="000000"/>
                <w:sz w:val="18"/>
                <w:szCs w:val="18"/>
                <w:lang w:eastAsia="ru-RU" w:bidi="ru-RU"/>
              </w:rPr>
              <w:tab/>
            </w:r>
          </w:p>
        </w:tc>
      </w:tr>
      <w:tr w:rsidR="00743CE5" w:rsidRPr="00743CE5" w:rsidTr="00CB150F">
        <w:tc>
          <w:tcPr>
            <w:tcW w:w="6804"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70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(354,843,926)</w:t>
            </w:r>
          </w:p>
        </w:tc>
        <w:tc>
          <w:tcPr>
            <w:tcW w:w="1444"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(350,175,878)</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numPr>
          <w:ilvl w:val="0"/>
          <w:numId w:val="7"/>
        </w:numPr>
        <w:autoSpaceDE w:val="0"/>
        <w:autoSpaceDN w:val="0"/>
        <w:adjustRightInd w:val="0"/>
        <w:spacing w:after="0" w:line="240" w:lineRule="auto"/>
        <w:rPr>
          <w:rFonts w:ascii="Tahoma" w:eastAsia="Times New Roman" w:hAnsi="Tahoma" w:cs="Tahoma"/>
          <w:i/>
          <w:color w:val="000000"/>
          <w:sz w:val="18"/>
          <w:szCs w:val="18"/>
          <w:lang w:eastAsia="ru-RU" w:bidi="ru-RU"/>
        </w:rPr>
      </w:pPr>
      <w:r w:rsidRPr="00743CE5">
        <w:rPr>
          <w:rFonts w:ascii="Tahoma" w:eastAsia="Times New Roman" w:hAnsi="Tahoma" w:cs="Tahoma"/>
          <w:b/>
          <w:i/>
          <w:color w:val="000000"/>
          <w:sz w:val="18"/>
          <w:szCs w:val="18"/>
          <w:lang w:eastAsia="ru-RU" w:bidi="ru-RU"/>
        </w:rPr>
        <w:t>Чистые расходы от выбытия активов, оцениваемых по справедливой стоимости, изменения которой отражаются в составе прибыли или убытка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2013 году была отменена продажа акций Collins Crest Limited. В </w:t>
      </w:r>
      <w:proofErr w:type="gramStart"/>
      <w:r w:rsidRPr="00743CE5">
        <w:rPr>
          <w:rFonts w:ascii="Tahoma" w:eastAsia="Times New Roman" w:hAnsi="Tahoma" w:cs="Tahoma"/>
          <w:color w:val="000000"/>
          <w:sz w:val="18"/>
          <w:szCs w:val="18"/>
          <w:lang w:eastAsia="ru-RU" w:bidi="ru-RU"/>
        </w:rPr>
        <w:t>результате</w:t>
      </w:r>
      <w:proofErr w:type="gramEnd"/>
      <w:r w:rsidRPr="00743CE5">
        <w:rPr>
          <w:rFonts w:ascii="Tahoma" w:eastAsia="Times New Roman" w:hAnsi="Tahoma" w:cs="Tahoma"/>
          <w:color w:val="000000"/>
          <w:sz w:val="18"/>
          <w:szCs w:val="18"/>
          <w:lang w:eastAsia="ru-RU" w:bidi="ru-RU"/>
        </w:rPr>
        <w:t xml:space="preserve"> Компания понесла убыток в сумме 6 294 тысячи долларов США, сторнировав прибыль, признанную в 2012 году.</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2013 году Компания продала 100% акций в капитале Xeroma Management Limited компании Bellrun Limited и понесла убыток в сумме 8 824 тысячи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2014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 мая 2014 года Компания продала 10% акций Invery Management Limited компании Ratado Holding Limited за 10 738 тысяч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 мая 2014 года Компания продала 100% акций в капитале Hines DPIII Development Limited компании Bellrun Trading Limited за возмещение в размере 3 420 тысяч долларов США. Полученный убыток составил 76 191 тысяча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 мая 2014 года Компания продала 100% акций в капитале Hines DPIII Realty Limited компании Bellrun Trading Limited за 3 420 тысяч долларов США. Полученный убыток составил 65 475 тысяч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 сентября 2014 года Компания продала 100% акций в капитале Bitlena Holdings Limited компании Ratado Holding Limited. Полученная прибыль составила 18 711 тысяч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декабря 2014 года Компания продала 100% акций в капитале White Estate Investments Limited компании Polostera Holding Limited за 249 миллионов долларов США. Полученная прибыль составила 34 934 тысячи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8. Расходы по элементам затрат</w:t>
      </w:r>
      <w:r w:rsidRPr="00743CE5">
        <w:rPr>
          <w:rFonts w:ascii="Tahoma" w:eastAsia="Times New Roman" w:hAnsi="Tahoma" w:cs="Tahoma"/>
          <w:b/>
          <w:bCs/>
          <w:i/>
          <w:color w:val="FF0000"/>
          <w:sz w:val="18"/>
          <w:szCs w:val="18"/>
          <w:lang w:eastAsia="ru-RU" w:bidi="ru-RU"/>
        </w:rPr>
        <w:t xml:space="preserve"> </w:t>
      </w:r>
      <w:r w:rsidRPr="00743CE5">
        <w:rPr>
          <w:rFonts w:ascii="Tahoma" w:eastAsia="Times New Roman" w:hAnsi="Tahoma" w:cs="Tahoma"/>
          <w:b/>
          <w:bCs/>
          <w:color w:val="000000"/>
          <w:sz w:val="18"/>
          <w:szCs w:val="18"/>
          <w:lang w:eastAsia="ru-RU" w:bidi="ru-RU"/>
        </w:rPr>
        <w:t xml:space="preserve"> </w:t>
      </w:r>
    </w:p>
    <w:tbl>
      <w:tblPr>
        <w:tblW w:w="9388" w:type="dxa"/>
        <w:tblInd w:w="39" w:type="dxa"/>
        <w:tblLayout w:type="fixed"/>
        <w:tblCellMar>
          <w:left w:w="39" w:type="dxa"/>
          <w:right w:w="39" w:type="dxa"/>
        </w:tblCellMar>
        <w:tblLook w:val="0000" w:firstRow="0" w:lastRow="0" w:firstColumn="0" w:lastColumn="0" w:noHBand="0" w:noVBand="0"/>
      </w:tblPr>
      <w:tblGrid>
        <w:gridCol w:w="6695"/>
        <w:gridCol w:w="1412"/>
        <w:gridCol w:w="1281"/>
      </w:tblGrid>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основанное на акциях: план выплат долевыми инструментами (Примечание 23)</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4,481,000</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5,329,321</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Вознаграждения за профессиональные услуги</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5,138,953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5,295,401</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Вознаграждения за профессиональные услуги: предыдущие годы</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104,800</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           -</w:t>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юридическое сопровождение</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552,861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1,085,357</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 (Примечание 27.1)</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3,782,203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695,018</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Вознаграждение аудиторов </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40,733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538,862</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Командировочные расходы</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350,557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398,220</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управляющих</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342,274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357,347</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Маркетинг и стимулирование продаж</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256,318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333,761</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Гербовый сбор</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92,993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155,830</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сертификацию и легализацию</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72,475</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Представительские расходы</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70,173</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Пожертвования, не относящиеся к благотворительности</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55,620</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расходы</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64,154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43,018</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Страхование</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59,959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31,103</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Штрафы</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23,840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15,932</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подписку и взносы</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10,082</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обслуживание</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4,697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4,831</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уборку помещений</w:t>
            </w:r>
          </w:p>
        </w:tc>
        <w:tc>
          <w:tcPr>
            <w:tcW w:w="1412"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1,399</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Расходы на проезд и проживание внутри страны </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28,439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525</w:t>
            </w:r>
            <w:r w:rsidRPr="00743CE5">
              <w:rPr>
                <w:rFonts w:ascii="Tahoma" w:eastAsia="Times New Roman" w:hAnsi="Tahoma" w:cs="Tahoma"/>
                <w:color w:val="000000"/>
                <w:sz w:val="18"/>
                <w:szCs w:val="18"/>
                <w:lang w:eastAsia="ru-RU" w:bidi="ru-RU"/>
              </w:rPr>
              <w:tab/>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на связь и почтовые услуги</w:t>
            </w: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125</w:t>
            </w:r>
          </w:p>
        </w:tc>
      </w:tr>
      <w:tr w:rsidR="00743CE5" w:rsidRPr="00743CE5" w:rsidTr="00CB150F">
        <w:tc>
          <w:tcPr>
            <w:tcW w:w="6695"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15,324,813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14,494,400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Указанные выше операционные расходы включают вознаграждение в размере 44 695 долларов США (2013 г.: 90 338 долларов США) за услуги по налоговому консультированию и ноль долларов США (2013 г.: 300 857 долларов США) за прочие аудиторские услуги, начисленное фирмой, выполняющей обязательный аудит Компании.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9. Прочие расходы</w:t>
      </w:r>
      <w:r w:rsidRPr="00743CE5">
        <w:rPr>
          <w:rFonts w:ascii="Tahoma" w:eastAsia="Times New Roman" w:hAnsi="Tahoma" w:cs="Tahoma"/>
          <w:b/>
          <w:bCs/>
          <w:i/>
          <w:color w:val="FF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Чистый убыток по операциям с иностранной валютой</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2,395,483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1,705,505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от обесценения остатков на банковских счетах</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658,548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2,395,483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2,364,053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10. Вознаграждение ключевому руководящему персоналу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 xml:space="preserve">Вознаграждение, основанное на акциях – план выплат долевыми инструментами </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4,481,000</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5,329,321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 за исполнительную деятельность</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3,782,203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695,018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8,263,203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6,024,339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11. Финансовые расходы</w:t>
      </w:r>
      <w:r w:rsidRPr="00743CE5">
        <w:rPr>
          <w:rFonts w:ascii="Tahoma" w:eastAsia="Times New Roman" w:hAnsi="Tahoma" w:cs="Tahoma"/>
          <w:b/>
          <w:bCs/>
          <w:color w:val="FF0000"/>
          <w:sz w:val="18"/>
          <w:szCs w:val="18"/>
          <w:lang w:eastAsia="ru-RU" w:bidi="ru-RU"/>
        </w:rPr>
        <w:t xml:space="preserve">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Процентные расходы и прочие финансовые расходы</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расходы по заемным средствам</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104,568,594</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27,495,655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Банковская комиссия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34,338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144,900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104,602,932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27,640,555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Чистая прибыль от </w:t>
            </w:r>
            <w:proofErr w:type="gramStart"/>
            <w:r w:rsidRPr="00743CE5">
              <w:rPr>
                <w:rFonts w:ascii="Tahoma" w:eastAsia="Times New Roman" w:hAnsi="Tahoma" w:cs="Tahoma"/>
                <w:b/>
                <w:color w:val="000000"/>
                <w:sz w:val="18"/>
                <w:szCs w:val="18"/>
                <w:lang w:eastAsia="ru-RU" w:bidi="ru-RU"/>
              </w:rPr>
              <w:t>курсовых</w:t>
            </w:r>
            <w:proofErr w:type="gramEnd"/>
            <w:r w:rsidRPr="00743CE5">
              <w:rPr>
                <w:rFonts w:ascii="Tahoma" w:eastAsia="Times New Roman" w:hAnsi="Tahoma" w:cs="Tahoma"/>
                <w:b/>
                <w:color w:val="000000"/>
                <w:sz w:val="18"/>
                <w:szCs w:val="18"/>
                <w:lang w:eastAsia="ru-RU" w:bidi="ru-RU"/>
              </w:rPr>
              <w:t xml:space="preserve"> разниц по финансовой деятельности</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 xml:space="preserve"> (15,991,400)</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(7,193,070)</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highlight w:val="yellow"/>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highlight w:val="yellow"/>
                <w:u w:val="single"/>
                <w:lang w:eastAsia="ru-RU" w:bidi="ru-RU"/>
              </w:rPr>
            </w:pPr>
            <w:r w:rsidRPr="00743CE5">
              <w:rPr>
                <w:rFonts w:ascii="Tahoma" w:eastAsia="Times New Roman" w:hAnsi="Tahoma" w:cs="Tahoma"/>
                <w:b/>
                <w:color w:val="000000"/>
                <w:sz w:val="18"/>
                <w:szCs w:val="18"/>
                <w:u w:val="single"/>
                <w:lang w:eastAsia="ru-RU" w:bidi="ru-RU"/>
              </w:rPr>
              <w:t xml:space="preserve">   88,611,532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20,447,485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12. Налогообложение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12.1 Налоги, признанные в составе прибыли или убытка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Взнос на нужды обороны </w:t>
            </w:r>
            <w:r w:rsidRPr="00743CE5">
              <w:rPr>
                <w:rFonts w:ascii="Tahoma" w:eastAsia="Times New Roman" w:hAnsi="Tahoma" w:cs="Tahoma"/>
                <w:color w:val="000000"/>
                <w:sz w:val="18"/>
                <w:szCs w:val="18"/>
                <w:lang w:eastAsia="ru-RU" w:bidi="ru-RU"/>
              </w:rPr>
              <w:noBreakHyphen/>
              <w:t xml:space="preserve"> текущий год  </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13,843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3,121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Начислено за год</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13,843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3,121</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 Компании до налогообложения отличается от теоретической суммы, которая была бы получена в случае применения действующих процентных ставок:</w:t>
      </w:r>
    </w:p>
    <w:tbl>
      <w:tblPr>
        <w:tblW w:w="0" w:type="auto"/>
        <w:tblInd w:w="39" w:type="dxa"/>
        <w:tblLayout w:type="fixed"/>
        <w:tblCellMar>
          <w:left w:w="39" w:type="dxa"/>
          <w:right w:w="39" w:type="dxa"/>
        </w:tblCellMar>
        <w:tblLook w:val="0000" w:firstRow="0" w:lastRow="0" w:firstColumn="0" w:lastColumn="0" w:noHBand="0" w:noVBand="0"/>
      </w:tblPr>
      <w:tblGrid>
        <w:gridCol w:w="6237"/>
        <w:gridCol w:w="1843"/>
        <w:gridCol w:w="1279"/>
      </w:tblGrid>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84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7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843"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9"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Убыток до налогообложения</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(271,063,306)</w:t>
            </w:r>
            <w:r w:rsidRPr="00743CE5">
              <w:rPr>
                <w:rFonts w:ascii="Tahoma" w:eastAsia="Times New Roman" w:hAnsi="Tahoma" w:cs="Tahoma"/>
                <w:color w:val="000000"/>
                <w:sz w:val="18"/>
                <w:szCs w:val="18"/>
                <w:lang w:eastAsia="ru-RU" w:bidi="ru-RU"/>
              </w:rPr>
              <w:tab/>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(121,913,048)</w:t>
            </w:r>
            <w:r w:rsidRPr="00743CE5">
              <w:rPr>
                <w:rFonts w:ascii="Tahoma" w:eastAsia="Times New Roman" w:hAnsi="Tahoma" w:cs="Tahoma"/>
                <w:color w:val="000000"/>
                <w:sz w:val="18"/>
                <w:szCs w:val="18"/>
                <w:lang w:eastAsia="ru-RU" w:bidi="ru-RU"/>
              </w:rPr>
              <w:tab/>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Налог, рассчитанный на основе действующих налоговых ставок 12,5% </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(33,882,913)</w:t>
            </w:r>
            <w:r w:rsidRPr="00743CE5">
              <w:rPr>
                <w:rFonts w:ascii="Tahoma" w:eastAsia="Times New Roman" w:hAnsi="Tahoma" w:cs="Tahoma"/>
                <w:color w:val="000000"/>
                <w:sz w:val="18"/>
                <w:szCs w:val="18"/>
                <w:lang w:eastAsia="ru-RU" w:bidi="ru-RU"/>
              </w:rPr>
              <w:tab/>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(15,239,131)</w:t>
            </w:r>
            <w:r w:rsidRPr="00743CE5">
              <w:rPr>
                <w:rFonts w:ascii="Tahoma" w:eastAsia="Times New Roman" w:hAnsi="Tahoma" w:cs="Tahoma"/>
                <w:color w:val="000000"/>
                <w:sz w:val="18"/>
                <w:szCs w:val="18"/>
                <w:lang w:eastAsia="ru-RU" w:bidi="ru-RU"/>
              </w:rPr>
              <w:tab/>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Расходы и убытки, не уменьшающие налогооблагаемую базу</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57,806,286</w:t>
            </w:r>
            <w:r w:rsidRPr="00743CE5">
              <w:rPr>
                <w:rFonts w:ascii="Tahoma" w:eastAsia="Times New Roman" w:hAnsi="Tahoma" w:cs="Tahoma"/>
                <w:color w:val="000000"/>
                <w:sz w:val="18"/>
                <w:szCs w:val="18"/>
                <w:lang w:eastAsia="ru-RU" w:bidi="ru-RU"/>
              </w:rPr>
              <w:tab/>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49,825,121</w:t>
            </w:r>
            <w:r w:rsidRPr="00743CE5">
              <w:rPr>
                <w:rFonts w:ascii="Tahoma" w:eastAsia="Times New Roman" w:hAnsi="Tahoma" w:cs="Tahoma"/>
                <w:color w:val="000000"/>
                <w:sz w:val="18"/>
                <w:szCs w:val="18"/>
                <w:lang w:eastAsia="ru-RU" w:bidi="ru-RU"/>
              </w:rPr>
              <w:tab/>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Необлагаемые доходы и прибыль</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(25,521,158)</w:t>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(33,437,958)</w:t>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Использование налоговых убытков </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(1,148,032)</w:t>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Налоговые убытки, перенесенные на будущий период</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1,597,785</w:t>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Взнос на нужды обороны </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13,843</w:t>
            </w:r>
            <w:r w:rsidRPr="00743CE5">
              <w:rPr>
                <w:rFonts w:ascii="Tahoma" w:eastAsia="Times New Roman" w:hAnsi="Tahoma" w:cs="Tahoma"/>
                <w:color w:val="000000"/>
                <w:sz w:val="18"/>
                <w:szCs w:val="18"/>
                <w:lang w:eastAsia="ru-RU" w:bidi="ru-RU"/>
              </w:rPr>
              <w:tab/>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3,121</w:t>
            </w:r>
            <w:r w:rsidRPr="00743CE5">
              <w:rPr>
                <w:rFonts w:ascii="Tahoma" w:eastAsia="Times New Roman" w:hAnsi="Tahoma" w:cs="Tahoma"/>
                <w:color w:val="000000"/>
                <w:sz w:val="18"/>
                <w:szCs w:val="18"/>
                <w:lang w:eastAsia="ru-RU" w:bidi="ru-RU"/>
              </w:rPr>
              <w:tab/>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Налоговые отчисления</w:t>
            </w: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13,843</w:t>
            </w:r>
            <w:r w:rsidRPr="00743CE5">
              <w:rPr>
                <w:rFonts w:ascii="Tahoma" w:eastAsia="Times New Roman" w:hAnsi="Tahoma" w:cs="Tahoma"/>
                <w:color w:val="000000"/>
                <w:sz w:val="18"/>
                <w:szCs w:val="18"/>
                <w:lang w:eastAsia="ru-RU" w:bidi="ru-RU"/>
              </w:rPr>
              <w:tab/>
            </w:r>
          </w:p>
        </w:tc>
        <w:tc>
          <w:tcPr>
            <w:tcW w:w="1279"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3,121</w:t>
            </w:r>
            <w:r w:rsidRPr="00743CE5">
              <w:rPr>
                <w:rFonts w:ascii="Tahoma" w:eastAsia="Times New Roman" w:hAnsi="Tahoma" w:cs="Tahoma"/>
                <w:color w:val="000000"/>
                <w:sz w:val="18"/>
                <w:szCs w:val="18"/>
                <w:lang w:eastAsia="ru-RU" w:bidi="ru-RU"/>
              </w:rPr>
              <w:tab/>
            </w:r>
          </w:p>
        </w:tc>
      </w:tr>
      <w:tr w:rsidR="00743CE5" w:rsidRPr="00743CE5" w:rsidTr="00CB150F">
        <w:tc>
          <w:tcPr>
            <w:tcW w:w="623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843"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279"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273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 1 января 2013 года прибыль Компании облагается налогом на прибыль по ставке 12,5%.</w:t>
      </w:r>
      <w:r w:rsidRPr="00743CE5">
        <w:rPr>
          <w:rFonts w:ascii="Tahoma" w:eastAsia="Times New Roman" w:hAnsi="Tahoma" w:cs="Tahoma"/>
          <w:color w:val="000000"/>
          <w:sz w:val="18"/>
          <w:szCs w:val="18"/>
          <w:lang w:eastAsia="ru-RU" w:bidi="ru-RU"/>
        </w:rPr>
        <w:br/>
      </w:r>
      <w:r w:rsidRPr="00743CE5">
        <w:rPr>
          <w:rFonts w:ascii="Tahoma" w:eastAsia="Times New Roman" w:hAnsi="Tahoma" w:cs="Tahoma"/>
          <w:color w:val="000000"/>
          <w:sz w:val="18"/>
          <w:szCs w:val="18"/>
          <w:lang w:eastAsia="ru-RU" w:bidi="ru-RU"/>
        </w:rPr>
        <w:br/>
        <w:t>В соответствии с действующим налоговым законодательством налоговые убытки могут переноситься на будущий период и засчитываться против налогооблагаемого дохода следующих пяти лет.</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 1 января 2009 года в некоторых случаях процентный доход может быть освобожден от налога на прибыль и облагается только специальным сбором на нужды обороны по ставке 10%; с 31 августа 2011 года ставка увеличена до 15%, а с 29 апреля 2013 года - увеличена до 30%.</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ряде</w:t>
      </w:r>
      <w:proofErr w:type="gramEnd"/>
      <w:r w:rsidRPr="00743CE5">
        <w:rPr>
          <w:rFonts w:ascii="Tahoma" w:eastAsia="Times New Roman" w:hAnsi="Tahoma" w:cs="Tahoma"/>
          <w:color w:val="000000"/>
          <w:sz w:val="18"/>
          <w:szCs w:val="18"/>
          <w:lang w:eastAsia="ru-RU" w:bidi="ru-RU"/>
        </w:rPr>
        <w:t xml:space="preserve"> случаев дивиденды, полученные из-за рубежа, могут облагаться специальным сбором на нужды обороны по ставке 15%, которая была увеличена до 17% с 31 августа 2011 года и до 20% с 1 января 2012 года по 31 декабря 2013 года, снижена до 17% с 1 января 2014 года.  В </w:t>
      </w:r>
      <w:proofErr w:type="gramStart"/>
      <w:r w:rsidRPr="00743CE5">
        <w:rPr>
          <w:rFonts w:ascii="Tahoma" w:eastAsia="Times New Roman" w:hAnsi="Tahoma" w:cs="Tahoma"/>
          <w:color w:val="000000"/>
          <w:sz w:val="18"/>
          <w:szCs w:val="18"/>
          <w:lang w:eastAsia="ru-RU" w:bidi="ru-RU"/>
        </w:rPr>
        <w:t>ряде</w:t>
      </w:r>
      <w:proofErr w:type="gramEnd"/>
      <w:r w:rsidRPr="00743CE5">
        <w:rPr>
          <w:rFonts w:ascii="Tahoma" w:eastAsia="Times New Roman" w:hAnsi="Tahoma" w:cs="Tahoma"/>
          <w:color w:val="000000"/>
          <w:sz w:val="18"/>
          <w:szCs w:val="18"/>
          <w:lang w:eastAsia="ru-RU" w:bidi="ru-RU"/>
        </w:rPr>
        <w:t xml:space="preserve"> случаев дивиденды, полученные с 1 января 2012 года и после этой даты от прочих компаний - налоговых резидентов Кипра, также могут облагаться специальным сбором на нужды обороны.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Доходы от реализации соответствующих прав собственности (включая акции, облигации, долговые инструменты и права на них и т.д.) освобождаются от кипрского налога на прибыль.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13. Дивиденды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Дивиденды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84,514,816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52,556,210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84,514,816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52,556,210</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2014 году директора утвердили выплату дивидендов в размере 84 515 тысяч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апреле 2013 года акционеры Компании утвердили выплату дивидендов в размере 5 631 тысяча долларов США держателям привилегированных акций. 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июне 2013 года акционеры Компании утвердили выплату дивидендов в размере 18 658 тысяч долларов США держателям обыкновенных акций. В </w:t>
      </w:r>
      <w:proofErr w:type="gramStart"/>
      <w:r w:rsidRPr="00743CE5">
        <w:rPr>
          <w:rFonts w:ascii="Tahoma" w:eastAsia="Times New Roman" w:hAnsi="Tahoma" w:cs="Tahoma"/>
          <w:color w:val="000000"/>
          <w:sz w:val="18"/>
          <w:szCs w:val="18"/>
          <w:lang w:eastAsia="ru-RU" w:bidi="ru-RU"/>
        </w:rPr>
        <w:t>сентябре</w:t>
      </w:r>
      <w:proofErr w:type="gramEnd"/>
      <w:r w:rsidRPr="00743CE5">
        <w:rPr>
          <w:rFonts w:ascii="Tahoma" w:eastAsia="Times New Roman" w:hAnsi="Tahoma" w:cs="Tahoma"/>
          <w:color w:val="000000"/>
          <w:sz w:val="18"/>
          <w:szCs w:val="18"/>
          <w:lang w:eastAsia="ru-RU" w:bidi="ru-RU"/>
        </w:rPr>
        <w:t xml:space="preserve"> 2013 года акционеры Компании утвердили выплату дивидендов в размере 26 207 тысяч долларов США держателям акций класса «A» и 2 064 тысячи долларов США держателям акций класса «В».</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14. Кредитное качество финансовых активов </w:t>
      </w:r>
    </w:p>
    <w:p w:rsidR="00743CE5" w:rsidRPr="00743CE5" w:rsidRDefault="00743CE5" w:rsidP="00743CE5">
      <w:pPr>
        <w:keepNext/>
        <w:widowControl w:val="0"/>
        <w:autoSpaceDE w:val="0"/>
        <w:autoSpaceDN w:val="0"/>
        <w:adjustRightInd w:val="0"/>
        <w:spacing w:after="0" w:line="240" w:lineRule="auto"/>
        <w:ind w:right="1814"/>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Кредитное качество финансовых активов, которые не являются ни просроченными, ни обесцененными, с точки зрения возможности получения задолженности от контрагентов, может быть оценено с использованием внешних кредитных рейтингов (если применимо) или показателей дефолта контрагентов за прошлые периоды:</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Cs/>
                <w:color w:val="000000"/>
                <w:sz w:val="18"/>
                <w:szCs w:val="18"/>
                <w:lang w:eastAsia="ru-RU" w:bidi="ru-RU"/>
              </w:rPr>
              <w:t xml:space="preserve">Непросроченная и необесцененная </w:t>
            </w:r>
            <w:r w:rsidRPr="00743CE5">
              <w:rPr>
                <w:rFonts w:ascii="Tahoma" w:eastAsia="Times New Roman" w:hAnsi="Tahoma" w:cs="Tahoma"/>
                <w:b/>
                <w:color w:val="000000"/>
                <w:sz w:val="18"/>
                <w:szCs w:val="18"/>
                <w:lang w:eastAsia="ru-RU" w:bidi="ru-RU"/>
              </w:rPr>
              <w:t xml:space="preserve">дебиторская задолженность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Контрагенты, не имеющие внешнего кредитного рейтинга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Прочая дебиторская задолженность</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7,780,532</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699,889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Задолженность акционеров по векселям</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24 805 349</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225,000,000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Текущие счета акционеров </w:t>
            </w:r>
            <w:r w:rsidRPr="00743CE5">
              <w:rPr>
                <w:rFonts w:ascii="Tahoma" w:eastAsia="Times New Roman" w:hAnsi="Tahoma" w:cs="Tahoma"/>
                <w:color w:val="000000"/>
                <w:sz w:val="18"/>
                <w:szCs w:val="18"/>
                <w:lang w:eastAsia="ru-RU" w:bidi="ru-RU"/>
              </w:rPr>
              <w:noBreakHyphen/>
              <w:t xml:space="preserve"> дебетовые остатки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1,349</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3,565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собственного дочернего предприятия</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428,439,036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15,208,517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прочих компаний Группы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13,765,051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461,026,266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254,677,022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461,026,266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254,677,022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Cs/>
                <w:color w:val="000000"/>
                <w:sz w:val="18"/>
                <w:szCs w:val="18"/>
                <w:lang w:eastAsia="ru-RU" w:bidi="ru-RU"/>
              </w:rPr>
              <w:t xml:space="preserve">Непросроченная и необесцененная </w:t>
            </w:r>
            <w:r w:rsidRPr="00743CE5">
              <w:rPr>
                <w:rFonts w:ascii="Tahoma" w:eastAsia="Times New Roman" w:hAnsi="Tahoma" w:cs="Tahoma"/>
                <w:color w:val="000000"/>
                <w:sz w:val="18"/>
                <w:szCs w:val="18"/>
                <w:lang w:eastAsia="ru-RU" w:bidi="ru-RU"/>
              </w:rPr>
              <w:t xml:space="preserve">дебиторская задолженность по займам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выданные связанным сторонам</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246,319,903</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85,066,317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займы выданные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538,485</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502,428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246,858,388</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85,568,745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Средства в банке и краткосрочные банковские депозиты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691,316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22,178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BBB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4,940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BB</w:t>
            </w:r>
            <w:r w:rsidRPr="00743CE5">
              <w:rPr>
                <w:rFonts w:ascii="Tahoma" w:eastAsia="Times New Roman" w:hAnsi="Tahoma" w:cs="Tahoma"/>
                <w:color w:val="000000"/>
                <w:sz w:val="18"/>
                <w:szCs w:val="18"/>
                <w:lang w:eastAsia="ru-RU" w:bidi="ru-RU"/>
              </w:rPr>
              <w:noBreakHyphen/>
              <w:t xml:space="preserve"> (Fitch)</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376,653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Caa1 (Moody's)</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926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12,026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Caa3 (Moody's)</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139,305</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1,194,886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6,821</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67,433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838,368</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Условия по финансовым активам, которые являются беспроблемными, не пересматривались.</w:t>
      </w:r>
    </w:p>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tabs>
          <w:tab w:val="left" w:pos="576"/>
        </w:tabs>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 Представление классов финансовых инструментов по категориям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Учетная политика Компании в отношении финансовых активов и финансовых обязатель</w:t>
      </w:r>
      <w:proofErr w:type="gramStart"/>
      <w:r w:rsidRPr="00743CE5">
        <w:rPr>
          <w:rFonts w:ascii="Tahoma" w:eastAsia="Times New Roman" w:hAnsi="Tahoma" w:cs="Tahoma"/>
          <w:color w:val="000000"/>
          <w:sz w:val="18"/>
          <w:szCs w:val="18"/>
          <w:lang w:eastAsia="ru-RU" w:bidi="ru-RU"/>
        </w:rPr>
        <w:t>ств пр</w:t>
      </w:r>
      <w:proofErr w:type="gramEnd"/>
      <w:r w:rsidRPr="00743CE5">
        <w:rPr>
          <w:rFonts w:ascii="Tahoma" w:eastAsia="Times New Roman" w:hAnsi="Tahoma" w:cs="Tahoma"/>
          <w:color w:val="000000"/>
          <w:sz w:val="18"/>
          <w:szCs w:val="18"/>
          <w:lang w:eastAsia="ru-RU" w:bidi="ru-RU"/>
        </w:rPr>
        <w:t>именялась в соответствии со следующими категориями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668"/>
        <w:gridCol w:w="1559"/>
      </w:tblGrid>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2014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Займы и дебиторская задолженность</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активы</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866,860,654</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866,860,654</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246,858,388</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246,858,388</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658,548</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1,700,274</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1,700,274</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(кроме предоплаты)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461,026,266</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461,026,266</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1701" w:type="dxa"/>
            <w:tcBorders>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838,368</w:t>
            </w:r>
          </w:p>
        </w:tc>
        <w:tc>
          <w:tcPr>
            <w:tcW w:w="1701"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838,368</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708,723,022</w:t>
            </w: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868,560,928</w:t>
            </w:r>
          </w:p>
        </w:tc>
        <w:tc>
          <w:tcPr>
            <w:tcW w:w="1668"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559"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1,577,942,498</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668"/>
        <w:gridCol w:w="1559"/>
      </w:tblGrid>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2014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 оцениваемые по справедливой стоимости, изменения которой отражаются в составе прибыли или убытка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финансовые обязательства, отражаемые по амортизированной стоимости</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обязательства</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292,989,372</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292,989,372</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59,607,741</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59,607,741</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5,593,486</w:t>
            </w:r>
          </w:p>
        </w:tc>
        <w:tc>
          <w:tcPr>
            <w:tcW w:w="1668"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5,593,486</w:t>
            </w:r>
          </w:p>
        </w:tc>
      </w:tr>
      <w:tr w:rsidR="00743CE5" w:rsidRPr="00743CE5" w:rsidTr="00CB150F">
        <w:trPr>
          <w:trHeight w:val="56"/>
        </w:trPr>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5,593,486</w:t>
            </w:r>
          </w:p>
        </w:tc>
        <w:tc>
          <w:tcPr>
            <w:tcW w:w="1668"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352,597,113</w:t>
            </w:r>
          </w:p>
        </w:tc>
        <w:tc>
          <w:tcPr>
            <w:tcW w:w="1559"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358,190,599</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668"/>
        <w:gridCol w:w="1559"/>
      </w:tblGrid>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2013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Займы и дебиторская задолженность</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активы</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8"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оцениваемые по справедливой стоимости, изменения которой отражаются в составе прибыли или убытка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1,461,239,672</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1,461,239,672</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по займам</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85,568,745</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85,568,745</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активы, имеющиеся в наличии для продажи</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658,548</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701"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2,027,023</w:t>
            </w:r>
            <w:r w:rsidRPr="00743CE5">
              <w:rPr>
                <w:rFonts w:ascii="Tahoma" w:eastAsia="Times New Roman" w:hAnsi="Tahoma" w:cs="Tahoma"/>
                <w:color w:val="000000"/>
                <w:sz w:val="18"/>
                <w:szCs w:val="18"/>
                <w:lang w:eastAsia="ru-RU" w:bidi="ru-RU"/>
              </w:rPr>
              <w:tab/>
            </w:r>
          </w:p>
        </w:tc>
        <w:tc>
          <w:tcPr>
            <w:tcW w:w="1668"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 xml:space="preserve">   2,027,023</w:t>
            </w:r>
            <w:r w:rsidRPr="00743CE5">
              <w:rPr>
                <w:rFonts w:ascii="Tahoma" w:eastAsia="Times New Roman" w:hAnsi="Tahoma" w:cs="Tahoma"/>
                <w:color w:val="000000"/>
                <w:sz w:val="18"/>
                <w:szCs w:val="18"/>
                <w:lang w:eastAsia="ru-RU" w:bidi="ru-RU"/>
              </w:rPr>
              <w:tab/>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(кроме предоплаты)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ab/>
              <w:t>254,677,022</w:t>
            </w:r>
            <w:r w:rsidRPr="00743CE5">
              <w:rPr>
                <w:rFonts w:ascii="Tahoma" w:eastAsia="Times New Roman" w:hAnsi="Tahoma" w:cs="Tahoma"/>
                <w:color w:val="000000"/>
                <w:sz w:val="18"/>
                <w:szCs w:val="18"/>
                <w:lang w:eastAsia="ru-RU" w:bidi="ru-RU"/>
              </w:rPr>
              <w:tab/>
            </w: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254,677,022</w:t>
            </w:r>
            <w:r w:rsidRPr="00743CE5">
              <w:rPr>
                <w:rFonts w:ascii="Tahoma" w:eastAsia="Times New Roman" w:hAnsi="Tahoma" w:cs="Tahoma"/>
                <w:color w:val="000000"/>
                <w:sz w:val="18"/>
                <w:szCs w:val="18"/>
                <w:lang w:eastAsia="ru-RU" w:bidi="ru-RU"/>
              </w:rPr>
              <w:tab/>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Денежные средства и их эквиваленты</w:t>
            </w:r>
          </w:p>
        </w:tc>
        <w:tc>
          <w:tcPr>
            <w:tcW w:w="1701" w:type="dxa"/>
            <w:tcBorders>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ab/>
              <w:t>1,678,116</w:t>
            </w:r>
            <w:r w:rsidRPr="00743CE5">
              <w:rPr>
                <w:rFonts w:ascii="Tahoma" w:eastAsia="Times New Roman" w:hAnsi="Tahoma" w:cs="Tahoma"/>
                <w:color w:val="000000"/>
                <w:sz w:val="18"/>
                <w:szCs w:val="18"/>
                <w:lang w:eastAsia="ru-RU" w:bidi="ru-RU"/>
              </w:rPr>
              <w:tab/>
            </w:r>
          </w:p>
        </w:tc>
        <w:tc>
          <w:tcPr>
            <w:tcW w:w="1701"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8"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59" w:type="dxa"/>
            <w:tcBorders>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Borders>
              <w:top w:val="single" w:sz="4" w:space="0" w:color="auto"/>
              <w:bottom w:val="single" w:sz="4" w:space="0" w:color="auto"/>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341,923,883</w:t>
            </w: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1,463,266,695</w:t>
            </w:r>
          </w:p>
        </w:tc>
        <w:tc>
          <w:tcPr>
            <w:tcW w:w="1668"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658,548</w:t>
            </w:r>
          </w:p>
        </w:tc>
        <w:tc>
          <w:tcPr>
            <w:tcW w:w="1559"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1,805,849,126</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tbl>
      <w:tblPr>
        <w:tblW w:w="10031" w:type="dxa"/>
        <w:tblLayout w:type="fixed"/>
        <w:tblLook w:val="0000" w:firstRow="0" w:lastRow="0" w:firstColumn="0" w:lastColumn="0" w:noHBand="0" w:noVBand="0"/>
      </w:tblPr>
      <w:tblGrid>
        <w:gridCol w:w="3402"/>
        <w:gridCol w:w="1701"/>
        <w:gridCol w:w="1701"/>
        <w:gridCol w:w="1560"/>
        <w:gridCol w:w="1667"/>
      </w:tblGrid>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На 31 декабря 2013 г.</w:t>
            </w: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обязательства, оцениваемые по справедливой стоимости, изменения которой отражаются в составе прибыли или убытка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финансовые обязательства, отражаемые по амортизированной стоимости</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Финансовые обязательства</w:t>
            </w:r>
          </w:p>
        </w:tc>
        <w:tc>
          <w:tcPr>
            <w:tcW w:w="1701"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560"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c>
          <w:tcPr>
            <w:tcW w:w="166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долл. США</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Заемные средства</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209,615,158</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209,615,158</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Торговая и прочая кредиторская задолженность</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560"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47,672,125</w:t>
            </w:r>
          </w:p>
        </w:tc>
        <w:tc>
          <w:tcPr>
            <w:tcW w:w="1667"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47,672,125</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Производные финансовые инструменты</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685,525</w:t>
            </w:r>
          </w:p>
        </w:tc>
        <w:tc>
          <w:tcPr>
            <w:tcW w:w="1560"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667" w:type="dxa"/>
            <w:tcBorders>
              <w:bottom w:val="single" w:sz="4" w:space="0" w:color="auto"/>
            </w:tcBorders>
          </w:tcPr>
          <w:p w:rsidR="00743CE5" w:rsidRPr="00743CE5" w:rsidRDefault="00743CE5" w:rsidP="00743CE5">
            <w:pPr>
              <w:widowControl w:val="0"/>
              <w:tabs>
                <w:tab w:val="right" w:pos="1061"/>
                <w:tab w:val="left" w:pos="1202"/>
              </w:tabs>
              <w:autoSpaceDE w:val="0"/>
              <w:autoSpaceDN w:val="0"/>
              <w:adjustRightInd w:val="0"/>
              <w:spacing w:after="0" w:line="240" w:lineRule="auto"/>
              <w:jc w:val="right"/>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685,525</w:t>
            </w:r>
          </w:p>
        </w:tc>
      </w:tr>
      <w:tr w:rsidR="00743CE5" w:rsidRPr="00743CE5" w:rsidTr="00CB150F">
        <w:tc>
          <w:tcPr>
            <w:tcW w:w="3402"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Итого</w:t>
            </w:r>
          </w:p>
        </w:tc>
        <w:tc>
          <w:tcPr>
            <w:tcW w:w="1701"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p>
        </w:tc>
        <w:tc>
          <w:tcPr>
            <w:tcW w:w="1701"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685,525</w:t>
            </w:r>
          </w:p>
        </w:tc>
        <w:tc>
          <w:tcPr>
            <w:tcW w:w="1560"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257,287,283</w:t>
            </w:r>
          </w:p>
        </w:tc>
        <w:tc>
          <w:tcPr>
            <w:tcW w:w="1667" w:type="dxa"/>
            <w:tcBorders>
              <w:top w:val="single" w:sz="4" w:space="0" w:color="auto"/>
              <w:bottom w:val="single" w:sz="4" w:space="0" w:color="auto"/>
            </w:tcBorders>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257,972,808</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Cs/>
          <w:color w:val="000000"/>
          <w:sz w:val="18"/>
          <w:szCs w:val="18"/>
          <w:lang w:eastAsia="ru-RU" w:bidi="ru-RU"/>
        </w:rPr>
      </w:pPr>
    </w:p>
    <w:p w:rsidR="00743CE5" w:rsidRPr="00743CE5" w:rsidRDefault="00743CE5" w:rsidP="00743CE5">
      <w:pPr>
        <w:widowControl w:val="0"/>
        <w:tabs>
          <w:tab w:val="left" w:pos="2212"/>
        </w:tabs>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16. Справедливая стоимость финансовых инструментов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 это цена, которая может быть получена при продаже актива или уплачена при передаче обязательства при проведении операции на добровольной основе между участниками рынка на дату оценки.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справедливая стоимость определялась Компанией исходя из имеющейся рыночной информации (если она существовала и считалась надежным показателем) и надлежащих методов оценки. Однако для интерпретации рыночной информации в целях определения справедливой стоимости необходимо применять профессиональные суждения. Экономика Российской Федерации по-прежнему проявляет некоторые характерные особенности, присущие развивающимся рынкам. Рыночные котировки могут быть устаревшими или отражать стоимость продажи по низким ценам и ввиду этого не отражать справедливую стоимость финансовых инструментов. При определении справедливой стоимости финансовых инструментов руководство использует всю имеющуюся рыночную информацию.</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Результаты оценки справедливой стоимости анализируются и распределяются по уровням иерархии справедливой стоимости следующим образом: (i) к 1 Уровню относятся оценки по котируемым ценам (некорректируемым) на активных рынках для идентичных активов или обязательств, (ii) ко 2 Уровню - полученные с помощью методов оценки, в котором все используемые существенные исходные данные, прямо или косвенно являются наблюдаемыми для актива или обязательства (т.е., например</w:t>
      </w:r>
      <w:proofErr w:type="gramEnd"/>
      <w:r w:rsidRPr="00743CE5">
        <w:rPr>
          <w:rFonts w:ascii="Tahoma" w:eastAsia="Times New Roman" w:hAnsi="Tahoma" w:cs="Tahoma"/>
          <w:color w:val="000000"/>
          <w:sz w:val="18"/>
          <w:szCs w:val="18"/>
          <w:lang w:eastAsia="ru-RU" w:bidi="ru-RU"/>
        </w:rPr>
        <w:t>, цены), и (iii) оценки 3 Уровня, которые являются оценками, не основанными на наблюдаемых рыночных данных (т.е. основаны на ненаблюдаемых исходных данных). Для распределения финансовых инструментов по категориям иерархии оценки справедливой стоимости руководство использует профессиональные суждения. Если для оценки справедливой стоимости используются наблюдаемые исходные данные, требующие значительных корректировок, эта оценка относится к 3 Уровню. Значимость используемых исходных данных оценивается для всей совокупности оценки справедливой стоимости.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 xml:space="preserve">Производные финансовые инструменты. </w:t>
      </w:r>
      <w:r w:rsidRPr="00743CE5">
        <w:rPr>
          <w:rFonts w:ascii="Tahoma" w:eastAsia="Times New Roman" w:hAnsi="Tahoma" w:cs="Tahoma"/>
          <w:color w:val="000000"/>
          <w:sz w:val="18"/>
          <w:szCs w:val="18"/>
          <w:lang w:eastAsia="ru-RU" w:bidi="ru-RU"/>
        </w:rPr>
        <w:t>Производные финансовые инструменты (Примечание 19), оцениваемые по справедливой стоимости, по состоянию на 31 декабря 2014 года и 31 декабря 2013 года, оцениваются с использованием метода оценки 2 уровня.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spacing w:after="240" w:line="228"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b/>
          <w:i/>
          <w:color w:val="000000"/>
          <w:sz w:val="18"/>
          <w:szCs w:val="20"/>
          <w:lang w:eastAsia="ru-RU" w:bidi="ru-RU"/>
        </w:rPr>
        <w:t xml:space="preserve">Финансовые активы, оцениваемые по справедливой стоимости, изменения которой отражаются в составе прибыли или убытка. </w:t>
      </w:r>
      <w:r w:rsidRPr="00743CE5">
        <w:rPr>
          <w:rFonts w:ascii="Tahoma" w:eastAsia="Times New Roman" w:hAnsi="Tahoma" w:cs="Times New Roman"/>
          <w:color w:val="000000"/>
          <w:sz w:val="18"/>
          <w:szCs w:val="20"/>
          <w:lang w:eastAsia="ru-RU" w:bidi="ru-RU"/>
        </w:rPr>
        <w:t>Справедливая стоимость финансовых активов, оцениваемых по справедливой стоимости, изменения которой отражаются в составе прибыли или убытка (Примечание 17), основывается на оценках 3 Уровня. Данные оценки определяются на основе чистой стоимости активов инвестиционного имущества дочерних компаний. Для дочерних компаний, владеющих инвестиционным имуществом в России, величина чистых активов соответствует их справедливой стоимости, поскольку они отражают справедливую стоимость инвестиционного имущества, отраженного на их бухгалтерском балансе. Справедливая стоимость инвестиционного имущества определяется руководством на основании отчетов независимых оценщиков, обладающих признанной квалификацией и имеющих недавний профессиональный опыт оценки имущества, аналогичного оцениваемому имуществу по своему местонахождению и категории. Справедливая стоимость инвестиционной собственности определяется в основном с использованием метода дисконтированных денежных потоков. Группа использовала допущения, основанные на состоянии рынка на каждую отчетную дату. Изменения в допущениях, использованных в моделях оценки, могут повлиять на отражаемую в финансовой отчетности справедливую стоимость.</w:t>
      </w:r>
    </w:p>
    <w:p w:rsidR="00743CE5" w:rsidRPr="00743CE5" w:rsidRDefault="00743CE5" w:rsidP="00743CE5">
      <w:pPr>
        <w:spacing w:after="240" w:line="228" w:lineRule="auto"/>
        <w:jc w:val="both"/>
        <w:rPr>
          <w:rFonts w:ascii="Tahoma" w:eastAsia="Times New Roman" w:hAnsi="Tahoma" w:cs="Tahoma"/>
          <w:sz w:val="18"/>
          <w:szCs w:val="18"/>
          <w:lang w:eastAsia="ru-RU" w:bidi="ru-RU"/>
        </w:rPr>
      </w:pPr>
      <w:r w:rsidRPr="00743CE5">
        <w:rPr>
          <w:rFonts w:ascii="Tahoma" w:eastAsia="Times New Roman" w:hAnsi="Tahoma" w:cs="Times New Roman"/>
          <w:sz w:val="18"/>
          <w:szCs w:val="20"/>
          <w:lang w:eastAsia="ru-RU" w:bidi="ru-RU"/>
        </w:rPr>
        <w:t>В таблице ниже приведены методы оценки и исходные данных, использованные в оценке справедливой стоимости инвестиционного имущества, а также чувствительность оценок к возможным изменениям исходных данных по состоянию на 31 декабря 2014 года:</w:t>
      </w:r>
    </w:p>
    <w:tbl>
      <w:tblPr>
        <w:tblW w:w="8505" w:type="dxa"/>
        <w:tblLayout w:type="fixed"/>
        <w:tblLook w:val="04A0" w:firstRow="1" w:lastRow="0" w:firstColumn="1" w:lastColumn="0" w:noHBand="0" w:noVBand="1"/>
      </w:tblPr>
      <w:tblGrid>
        <w:gridCol w:w="1540"/>
        <w:gridCol w:w="1113"/>
        <w:gridCol w:w="1720"/>
        <w:gridCol w:w="1220"/>
        <w:gridCol w:w="1341"/>
        <w:gridCol w:w="1571"/>
      </w:tblGrid>
      <w:tr w:rsidR="00743CE5" w:rsidRPr="00743CE5" w:rsidTr="00CB150F">
        <w:trPr>
          <w:trHeight w:val="97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r w:rsidRPr="00743CE5">
              <w:rPr>
                <w:rFonts w:ascii="Tahoma" w:eastAsia="Times New Roman" w:hAnsi="Tahoma" w:cs="Tahoma"/>
                <w:i/>
                <w:color w:val="000000"/>
                <w:sz w:val="18"/>
                <w:szCs w:val="18"/>
                <w:lang w:eastAsia="ru-RU" w:bidi="ru-RU"/>
              </w:rPr>
              <w:t xml:space="preserve">в </w:t>
            </w:r>
            <w:proofErr w:type="gramStart"/>
            <w:r w:rsidRPr="00743CE5">
              <w:rPr>
                <w:rFonts w:ascii="Tahoma" w:eastAsia="Times New Roman" w:hAnsi="Tahoma" w:cs="Tahoma"/>
                <w:i/>
                <w:color w:val="000000"/>
                <w:sz w:val="18"/>
                <w:szCs w:val="18"/>
                <w:lang w:eastAsia="ru-RU" w:bidi="ru-RU"/>
              </w:rPr>
              <w:t>тысячах долларов</w:t>
            </w:r>
            <w:proofErr w:type="gramEnd"/>
            <w:r w:rsidRPr="00743CE5">
              <w:rPr>
                <w:rFonts w:ascii="Tahoma" w:eastAsia="Times New Roman" w:hAnsi="Tahoma" w:cs="Tahoma"/>
                <w:i/>
                <w:color w:val="000000"/>
                <w:sz w:val="18"/>
                <w:szCs w:val="18"/>
                <w:lang w:eastAsia="ru-RU" w:bidi="ru-RU"/>
              </w:rPr>
              <w:t xml:space="preserve"> США</w:t>
            </w:r>
          </w:p>
        </w:tc>
        <w:tc>
          <w:tcPr>
            <w:tcW w:w="1113"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Метод оценки</w:t>
            </w:r>
          </w:p>
        </w:tc>
        <w:tc>
          <w:tcPr>
            <w:tcW w:w="17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Исходные данные, используемые в оценке инвестиционного имущества</w:t>
            </w: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Диапазон исходных данных (средневзвешенное значение)</w:t>
            </w: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Обоснованное изменение </w:t>
            </w:r>
            <w:r w:rsidRPr="00743CE5">
              <w:rPr>
                <w:rFonts w:ascii="Tahoma" w:eastAsia="Times New Roman" w:hAnsi="Tahoma" w:cs="Tahoma"/>
                <w:b/>
                <w:bCs/>
                <w:color w:val="000000"/>
                <w:sz w:val="18"/>
                <w:szCs w:val="18"/>
                <w:lang w:eastAsia="ru-RU" w:bidi="ru-RU"/>
              </w:rPr>
              <w:br/>
            </w:r>
            <w:r w:rsidRPr="00743CE5">
              <w:rPr>
                <w:rFonts w:ascii="Tahoma" w:eastAsia="Times New Roman" w:hAnsi="Tahoma" w:cs="Tahoma"/>
                <w:b/>
                <w:color w:val="000000"/>
                <w:sz w:val="18"/>
                <w:szCs w:val="18"/>
                <w:lang w:eastAsia="ru-RU" w:bidi="ru-RU"/>
              </w:rPr>
              <w:t>(% исходных данных)</w:t>
            </w: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roofErr w:type="gramStart"/>
            <w:r w:rsidRPr="00743CE5">
              <w:rPr>
                <w:rFonts w:ascii="Tahoma" w:eastAsia="Times New Roman" w:hAnsi="Tahoma" w:cs="Tahoma"/>
                <w:b/>
                <w:color w:val="000000"/>
                <w:sz w:val="18"/>
                <w:szCs w:val="18"/>
                <w:lang w:eastAsia="ru-RU" w:bidi="ru-RU"/>
              </w:rPr>
              <w:t>Чувстви-тельность</w:t>
            </w:r>
            <w:proofErr w:type="gramEnd"/>
            <w:r w:rsidRPr="00743CE5">
              <w:rPr>
                <w:rFonts w:ascii="Tahoma" w:eastAsia="Times New Roman" w:hAnsi="Tahoma" w:cs="Tahoma"/>
                <w:b/>
                <w:color w:val="000000"/>
                <w:sz w:val="18"/>
                <w:szCs w:val="18"/>
                <w:lang w:eastAsia="ru-RU" w:bidi="ru-RU"/>
              </w:rPr>
              <w:t xml:space="preserve"> оценки справед-ливой стоимости</w:t>
            </w:r>
          </w:p>
        </w:tc>
      </w:tr>
      <w:tr w:rsidR="00743CE5" w:rsidRPr="00743CE5" w:rsidTr="00CB150F">
        <w:trPr>
          <w:trHeight w:val="10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i/>
                <w:iCs/>
                <w:color w:val="000000"/>
                <w:sz w:val="18"/>
                <w:szCs w:val="18"/>
                <w:lang w:eastAsia="ru-RU" w:bidi="ru-RU"/>
              </w:rPr>
            </w:pPr>
          </w:p>
        </w:tc>
        <w:tc>
          <w:tcPr>
            <w:tcW w:w="1113"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7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r>
      <w:tr w:rsidR="00743CE5" w:rsidRPr="00743CE5" w:rsidTr="00CB150F">
        <w:trPr>
          <w:trHeight w:val="255"/>
        </w:trPr>
        <w:tc>
          <w:tcPr>
            <w:tcW w:w="154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Дочерние предприятия, владеющие инвестиционным имуществом, приносящим доход</w:t>
            </w:r>
          </w:p>
        </w:tc>
        <w:tc>
          <w:tcPr>
            <w:tcW w:w="1113"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Метод дисконтированных денежных потоков</w:t>
            </w: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дисконтирования</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10,0-14,0%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(169 000)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180 000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стоимость аренды</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200-2000 долл. США/ кв</w:t>
            </w:r>
            <w:proofErr w:type="gramStart"/>
            <w:r w:rsidRPr="00743CE5">
              <w:rPr>
                <w:rFonts w:ascii="Tahoma" w:eastAsia="Times New Roman" w:hAnsi="Tahoma" w:cs="Tahoma"/>
                <w:color w:val="000000"/>
                <w:sz w:val="18"/>
                <w:szCs w:val="18"/>
                <w:lang w:eastAsia="ru-RU" w:bidi="ru-RU"/>
              </w:rPr>
              <w:t>.м</w:t>
            </w:r>
            <w:proofErr w:type="gramEnd"/>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263 400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(264 200)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капитализации при выходе из участия в капитале</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9,5-10,5%</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(224 800)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279 900</w:t>
            </w:r>
          </w:p>
        </w:tc>
      </w:tr>
      <w:tr w:rsidR="00743CE5" w:rsidRPr="00743CE5" w:rsidTr="00CB150F">
        <w:trPr>
          <w:trHeight w:val="120"/>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113"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72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c>
          <w:tcPr>
            <w:tcW w:w="1571" w:type="dxa"/>
            <w:noWrap/>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w:t>
            </w:r>
          </w:p>
        </w:tc>
      </w:tr>
      <w:tr w:rsidR="00743CE5" w:rsidRPr="00743CE5" w:rsidTr="00CB150F">
        <w:trPr>
          <w:trHeight w:val="105"/>
        </w:trPr>
        <w:tc>
          <w:tcPr>
            <w:tcW w:w="154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34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rPr>
          <w:trHeight w:val="240"/>
        </w:trPr>
        <w:tc>
          <w:tcPr>
            <w:tcW w:w="154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Дочерние предприятия, владеющие незавершенным инвестиционным имуществом</w:t>
            </w:r>
          </w:p>
        </w:tc>
        <w:tc>
          <w:tcPr>
            <w:tcW w:w="1113"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Метод дисконтированных денежных потоков</w:t>
            </w: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дисконтирования</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(11 900)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13 500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Расчетная стоимость аренды</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300-800 долл. США/ кв</w:t>
            </w:r>
            <w:proofErr w:type="gramStart"/>
            <w:r w:rsidRPr="00743CE5">
              <w:rPr>
                <w:rFonts w:ascii="Tahoma" w:eastAsia="Times New Roman" w:hAnsi="Tahoma" w:cs="Tahoma"/>
                <w:color w:val="000000"/>
                <w:sz w:val="18"/>
                <w:szCs w:val="18"/>
                <w:lang w:eastAsia="ru-RU" w:bidi="ru-RU"/>
              </w:rPr>
              <w:t>.м</w:t>
            </w:r>
            <w:proofErr w:type="gramEnd"/>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18 200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(18 200)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val="restart"/>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Ставки капитализации при выходе из участия в капитале</w:t>
            </w:r>
          </w:p>
        </w:tc>
        <w:tc>
          <w:tcPr>
            <w:tcW w:w="1220"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10,0%</w:t>
            </w:r>
          </w:p>
        </w:tc>
        <w:tc>
          <w:tcPr>
            <w:tcW w:w="1341" w:type="dxa"/>
            <w:vMerge w:val="restart"/>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+10%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w:t>
            </w: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(13 100)</w:t>
            </w:r>
          </w:p>
        </w:tc>
      </w:tr>
      <w:tr w:rsidR="00743CE5" w:rsidRPr="00743CE5" w:rsidTr="00CB150F">
        <w:trPr>
          <w:trHeight w:val="240"/>
        </w:trPr>
        <w:tc>
          <w:tcPr>
            <w:tcW w:w="154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13"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7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20"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341" w:type="dxa"/>
            <w:vMerge/>
            <w:hideMark/>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71" w:type="dxa"/>
            <w:noWrap/>
            <w:hideMark/>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16 200</w:t>
            </w:r>
          </w:p>
        </w:tc>
      </w:tr>
    </w:tbl>
    <w:p w:rsidR="00743CE5" w:rsidRPr="00743CE5" w:rsidRDefault="00743CE5" w:rsidP="00743CE5">
      <w:pPr>
        <w:spacing w:after="0" w:line="228" w:lineRule="auto"/>
        <w:jc w:val="both"/>
        <w:rPr>
          <w:rFonts w:ascii="Times New Roman" w:eastAsia="Times New Roman" w:hAnsi="Times New Roman" w:cs="Times New Roman"/>
          <w:sz w:val="20"/>
          <w:szCs w:val="20"/>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Arial" w:eastAsia="Times New Roman" w:hAnsi="Arial" w:cs="Tahoma"/>
          <w:bCs/>
          <w:color w:val="000000"/>
          <w:sz w:val="18"/>
          <w:szCs w:val="18"/>
          <w:lang w:eastAsia="ru-RU" w:bidi="ru-RU"/>
        </w:rPr>
      </w:pPr>
      <w:r w:rsidRPr="00743CE5">
        <w:rPr>
          <w:rFonts w:ascii="Tahoma" w:eastAsia="Times New Roman" w:hAnsi="Tahoma" w:cs="Tahoma"/>
          <w:b/>
          <w:color w:val="000000"/>
          <w:sz w:val="18"/>
          <w:szCs w:val="18"/>
          <w:lang w:eastAsia="ru-RU" w:bidi="ru-RU"/>
        </w:rPr>
        <w:t>16. Справедливая стоимость финансовых инструментов (продолжение)</w:t>
      </w:r>
    </w:p>
    <w:p w:rsidR="00743CE5" w:rsidRPr="00743CE5" w:rsidRDefault="00743CE5" w:rsidP="00743CE5">
      <w:pPr>
        <w:spacing w:after="240" w:line="228" w:lineRule="auto"/>
        <w:jc w:val="both"/>
        <w:rPr>
          <w:rFonts w:ascii="Tahoma" w:eastAsia="Times New Roman" w:hAnsi="Tahoma" w:cs="Tahoma"/>
          <w:color w:val="000000"/>
          <w:sz w:val="18"/>
          <w:szCs w:val="18"/>
          <w:lang w:eastAsia="ru-RU" w:bidi="ru-RU"/>
        </w:rPr>
      </w:pPr>
    </w:p>
    <w:p w:rsidR="00743CE5" w:rsidRPr="00743CE5" w:rsidRDefault="00743CE5" w:rsidP="00743CE5">
      <w:pPr>
        <w:spacing w:after="240" w:line="228"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b/>
          <w:i/>
          <w:color w:val="000000"/>
          <w:sz w:val="18"/>
          <w:szCs w:val="20"/>
          <w:lang w:eastAsia="ru-RU" w:bidi="ru-RU"/>
        </w:rPr>
        <w:t>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spacing w:after="240" w:line="228"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0"/>
          <w:lang w:eastAsia="ru-RU" w:bidi="ru-RU"/>
        </w:rPr>
        <w:t>Чувствительность оценки справедливой стоимости к изменениям исходных данных определяется с помощью корректировки переменной величины и на основе допущения о том, что прочие переменные остаются без изменений.</w:t>
      </w:r>
    </w:p>
    <w:p w:rsidR="00743CE5" w:rsidRPr="00743CE5" w:rsidRDefault="00743CE5" w:rsidP="00743CE5">
      <w:pPr>
        <w:spacing w:after="240" w:line="228"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0"/>
          <w:lang w:eastAsia="ru-RU" w:bidi="ru-RU"/>
        </w:rPr>
        <w:t xml:space="preserve">В течение 2013 года справедливая стоимость финансовых активов, оцениваемых по справедливой стоимости, изменения которой отражаются в составе прибыли или убытка, была включена в справедливую стоимость инвестиций в дочерние предприятия. Отложенные налоги, возникающие в связи с корректировкой справедливой стоимости инвестиционного имущества, отражались через дочерние предприятия Компании. По состоянию на 31 декабря 2013 года и за год, закончившийся на указанную дату, влияние этой корректировки на справедливую стоимость составило 92 998 996 долларов США. Эти исходные данные для оценки справедливой стоимости представляют собой ненаблюдаемые данные, и для их определения требуется применять существенные суждения. Соответствующие условия, влияющие на эти исходные данные для оценки, могут изменяться, а справедливая стоимость инвестиций в дочерние предприятия, которая будет реализована посредством будущих выбытий, может отличаться от справедливой стоимости инвестиций в дочерние предприятия, отраженные в данной отдельной финансовой отчетности.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течение 2013 года переводов на уровень оценки 3 и с этого уровня не производилось.</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Денежные средства и их эквиваленты.</w:t>
      </w:r>
      <w:r w:rsidRPr="00743CE5">
        <w:rPr>
          <w:rFonts w:ascii="Tahoma" w:eastAsia="Times New Roman" w:hAnsi="Tahoma" w:cs="Tahoma"/>
          <w:color w:val="000000"/>
          <w:sz w:val="18"/>
          <w:szCs w:val="18"/>
          <w:lang w:eastAsia="ru-RU" w:bidi="ru-RU"/>
        </w:rPr>
        <w:t xml:space="preserve"> Денежные средства и их эквиваленты отражаются по номинальной стоимости.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i/>
          <w:color w:val="000000"/>
          <w:sz w:val="18"/>
          <w:szCs w:val="18"/>
          <w:lang w:eastAsia="ru-RU" w:bidi="ru-RU"/>
        </w:rPr>
        <w:t>Финансовые активы и обязательства, отражаемые по амортизированной стоимости.</w:t>
      </w:r>
      <w:r w:rsidRPr="00743CE5">
        <w:rPr>
          <w:rFonts w:ascii="Tahoma" w:eastAsia="Times New Roman" w:hAnsi="Tahoma" w:cs="Tahoma"/>
          <w:color w:val="000000"/>
          <w:sz w:val="18"/>
          <w:szCs w:val="18"/>
          <w:lang w:eastAsia="ru-RU" w:bidi="ru-RU"/>
        </w:rPr>
        <w:t xml:space="preserve"> Финансовые активы и обязательства отражены по амортизированной стоимости, которая приблизительно равна их текущей справедливой стоимости.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17. Финансовые активы, оцениваемые по справедливой стоимости, изменения которой отражаются в составе прибыли или убытка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1,461,239,672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1,334,375,294</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169,039,100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555,795,339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Выбытия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(497,767,344)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(97,982,521)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Перенос из категории «Инвестиции в ассоциированное предприятие»</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9,583,300</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Переоценка (Примечание 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(265,650,774)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(340,531,740)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866,860,654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1,461,239,672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Информация о справедливой стоимости дочерних предприятий представлена в таблице ниже: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639" w:type="dxa"/>
        <w:tblInd w:w="39" w:type="dxa"/>
        <w:tblLayout w:type="fixed"/>
        <w:tblCellMar>
          <w:left w:w="39" w:type="dxa"/>
          <w:right w:w="39" w:type="dxa"/>
        </w:tblCellMar>
        <w:tblLook w:val="0000" w:firstRow="0" w:lastRow="0" w:firstColumn="0" w:lastColumn="0" w:noHBand="0" w:noVBand="0"/>
      </w:tblPr>
      <w:tblGrid>
        <w:gridCol w:w="2127"/>
        <w:gridCol w:w="992"/>
        <w:gridCol w:w="1701"/>
        <w:gridCol w:w="992"/>
        <w:gridCol w:w="992"/>
        <w:gridCol w:w="1418"/>
        <w:gridCol w:w="1417"/>
      </w:tblGrid>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Название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Страна регистрации</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Основная деятельность</w:t>
            </w: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2014 г.</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w:t>
            </w: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2013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u w:val="single"/>
                <w:lang w:eastAsia="ru-RU" w:bidi="ru-RU"/>
              </w:rPr>
              <w:t>%</w:t>
            </w:r>
          </w:p>
        </w:tc>
        <w:tc>
          <w:tcPr>
            <w:tcW w:w="141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right="80"/>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 xml:space="preserve"> 2014 г.</w:t>
            </w:r>
          </w:p>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6"/>
                <w:szCs w:val="16"/>
                <w:lang w:eastAsia="ru-RU" w:bidi="ru-RU"/>
              </w:rPr>
            </w:pPr>
            <w:r w:rsidRPr="00743CE5">
              <w:rPr>
                <w:rFonts w:ascii="Tahoma" w:eastAsia="Times New Roman" w:hAnsi="Tahoma" w:cs="Tahoma"/>
                <w:b/>
                <w:bCs/>
                <w:color w:val="000000"/>
                <w:sz w:val="16"/>
                <w:szCs w:val="18"/>
                <w:lang w:eastAsia="ru-RU" w:bidi="ru-RU"/>
              </w:rPr>
              <w:t>долл. США</w:t>
            </w:r>
          </w:p>
        </w:tc>
        <w:tc>
          <w:tcPr>
            <w:tcW w:w="141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2013 г.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долл. США</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418"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c>
          <w:tcPr>
            <w:tcW w:w="1417"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6"/>
                <w:szCs w:val="16"/>
                <w:lang w:eastAsia="ru-RU" w:bidi="ru-RU"/>
              </w:rPr>
            </w:pP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Дочерние предприятия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418"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p>
        </w:tc>
        <w:tc>
          <w:tcPr>
            <w:tcW w:w="141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Wallasey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79,262,403</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57,250,762</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Ratado Holding Ltd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398,524,000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356,212,922</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val="en-US" w:eastAsia="ru-RU" w:bidi="ru-RU"/>
              </w:rPr>
            </w:pPr>
            <w:r w:rsidRPr="00743CE5">
              <w:rPr>
                <w:rFonts w:ascii="Tahoma" w:eastAsia="Times New Roman" w:hAnsi="Tahoma" w:cs="Tahoma"/>
                <w:color w:val="000000"/>
                <w:sz w:val="16"/>
                <w:szCs w:val="18"/>
                <w:lang w:val="en-US" w:eastAsia="ru-RU" w:bidi="ru-RU"/>
              </w:rPr>
              <w:t xml:space="preserve">Discovery Russian Realty Paveletskaya Project Ltd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Каймановы острова</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1,330</w:t>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O1 Properties Management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925,000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867,000</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Sharezone Capital Ltd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170,280,000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306,361,636</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Stabilac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1,663,861</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Bitlena Holdings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131,289,203</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Valnaz Investments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21,364,851</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26,009,707</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Vielle Limited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16,527,713</w:t>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6"/>
                <w:szCs w:val="18"/>
                <w:lang w:eastAsia="ru-RU" w:bidi="ru-RU"/>
              </w:rPr>
              <w:t>-</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Eagleman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ООО «Сити</w:t>
            </w:r>
            <w:r w:rsidRPr="00743CE5">
              <w:rPr>
                <w:rFonts w:ascii="Tahoma" w:eastAsia="Times New Roman" w:hAnsi="Tahoma" w:cs="Tahoma"/>
                <w:color w:val="000000"/>
                <w:sz w:val="18"/>
                <w:szCs w:val="18"/>
                <w:lang w:eastAsia="ru-RU" w:bidi="ru-RU"/>
              </w:rPr>
              <w:noBreakHyphen/>
            </w:r>
            <w:r w:rsidRPr="00743CE5">
              <w:rPr>
                <w:rFonts w:ascii="Tahoma" w:eastAsia="Times New Roman" w:hAnsi="Tahoma" w:cs="Tahoma"/>
                <w:color w:val="000000"/>
                <w:sz w:val="16"/>
                <w:szCs w:val="18"/>
                <w:lang w:eastAsia="ru-RU" w:bidi="ru-RU"/>
              </w:rPr>
              <w:t>Девелопер»</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ЗАО «Наш Стандарт»</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1,028,292</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924,000</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Hines DPIII Development Limited (2)</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0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76,194,827</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Hines DPIII Realty Ltd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0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65,478,646</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Tropical Sunset Holdings Inc</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 </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 xml:space="preserve">100** </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Letvion Investments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85</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right="153"/>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85</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531,031</w:t>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Hannory Holdings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Collins Crest Limited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ООО «Семела»</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Россия</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Blandid Limited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17,522,648</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28,332,430</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Taavo Enterprises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85**</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50**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228,315</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16,659,927</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Invery Management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10,738,656</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White Estate Investments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214,066,012</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Mokati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26,287,000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65,554,334</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Mooncrown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1</w:t>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Kolston Group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Британские Виргинские острова</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33,557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44,000</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Simeona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1</w:t>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Thabit Holdings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Mumford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Minesign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Неактивная компания</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Fundin Investments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Финансирование</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73,088,989</w:t>
            </w:r>
          </w:p>
        </w:tc>
        <w:tc>
          <w:tcPr>
            <w:tcW w:w="1417" w:type="dxa"/>
            <w:tcBorders>
              <w:top w:val="nil"/>
              <w:left w:val="nil"/>
              <w:bottom w:val="nil"/>
              <w:right w:val="nil"/>
            </w:tcBorders>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6"/>
                <w:szCs w:val="18"/>
                <w:lang w:eastAsia="ru-RU" w:bidi="ru-RU"/>
              </w:rPr>
              <w:t>-</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Sabaton Holdings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51,108,771</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88,806,233</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Cemvertia Holdings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lang w:eastAsia="ru-RU" w:bidi="ru-RU"/>
              </w:rPr>
              <w:t>10,146,749</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lang w:eastAsia="ru-RU" w:bidi="ru-RU"/>
              </w:rPr>
              <w:t>14,785,516</w:t>
            </w:r>
            <w:r w:rsidRPr="00743CE5">
              <w:rPr>
                <w:rFonts w:ascii="Tahoma" w:eastAsia="Times New Roman" w:hAnsi="Tahoma" w:cs="Tahoma"/>
                <w:color w:val="000000"/>
                <w:sz w:val="18"/>
                <w:szCs w:val="18"/>
                <w:lang w:eastAsia="ru-RU" w:bidi="ru-RU"/>
              </w:rPr>
              <w:tab/>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Moonpeak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1</w:t>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6"/>
                <w:szCs w:val="18"/>
                <w:lang w:eastAsia="ru-RU" w:bidi="ru-RU"/>
              </w:rPr>
              <w:t>-</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O1 Advisory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Услуги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6"/>
                <w:szCs w:val="16"/>
                <w:lang w:eastAsia="ru-RU" w:bidi="ru-RU"/>
              </w:rPr>
            </w:pPr>
            <w:r w:rsidRPr="00743CE5">
              <w:rPr>
                <w:rFonts w:ascii="Tahoma" w:eastAsia="Times New Roman" w:hAnsi="Tahoma" w:cs="Tahoma"/>
                <w:b/>
                <w:color w:val="000000"/>
                <w:sz w:val="16"/>
                <w:szCs w:val="18"/>
                <w:lang w:eastAsia="ru-RU" w:bidi="ru-RU"/>
              </w:rPr>
              <w:t xml:space="preserve">               1</w:t>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6"/>
                <w:szCs w:val="18"/>
                <w:lang w:eastAsia="ru-RU" w:bidi="ru-RU"/>
              </w:rPr>
              <w:t xml:space="preserve">                -</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Wakovia Ltd</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Кипр</w:t>
            </w: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Холдинговая компания и финансовые инвестиции</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100</w:t>
            </w: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r w:rsidRPr="00743CE5">
              <w:rPr>
                <w:rFonts w:ascii="Tahoma" w:eastAsia="Times New Roman" w:hAnsi="Tahoma" w:cs="Tahoma"/>
                <w:color w:val="000000"/>
                <w:sz w:val="16"/>
                <w:szCs w:val="18"/>
                <w:lang w:eastAsia="ru-RU" w:bidi="ru-RU"/>
              </w:rPr>
              <w:t>0</w:t>
            </w:r>
          </w:p>
        </w:tc>
        <w:tc>
          <w:tcPr>
            <w:tcW w:w="1418"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6"/>
                <w:szCs w:val="16"/>
                <w:u w:val="single"/>
                <w:lang w:eastAsia="ru-RU" w:bidi="ru-RU"/>
              </w:rPr>
            </w:pPr>
            <w:r w:rsidRPr="00743CE5">
              <w:rPr>
                <w:rFonts w:ascii="Tahoma" w:eastAsia="Times New Roman" w:hAnsi="Tahoma" w:cs="Tahoma"/>
                <w:b/>
                <w:color w:val="000000"/>
                <w:sz w:val="16"/>
                <w:szCs w:val="18"/>
                <w:u w:val="single"/>
                <w:lang w:eastAsia="ru-RU" w:bidi="ru-RU"/>
              </w:rPr>
              <w:t xml:space="preserve">               1</w:t>
            </w:r>
          </w:p>
        </w:tc>
        <w:tc>
          <w:tcPr>
            <w:tcW w:w="1417" w:type="dxa"/>
            <w:tcBorders>
              <w:top w:val="nil"/>
              <w:left w:val="nil"/>
              <w:bottom w:val="nil"/>
              <w:right w:val="nil"/>
            </w:tcBorders>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Cs/>
                <w:color w:val="000000"/>
                <w:sz w:val="16"/>
                <w:szCs w:val="16"/>
                <w:u w:val="single"/>
                <w:lang w:eastAsia="ru-RU" w:bidi="ru-RU"/>
              </w:rPr>
            </w:pPr>
            <w:r w:rsidRPr="00743CE5">
              <w:rPr>
                <w:rFonts w:ascii="Tahoma" w:eastAsia="Times New Roman" w:hAnsi="Tahoma" w:cs="Tahoma"/>
                <w:color w:val="000000"/>
                <w:sz w:val="16"/>
                <w:szCs w:val="18"/>
                <w:u w:val="single"/>
                <w:lang w:eastAsia="ru-RU" w:bidi="ru-RU"/>
              </w:rPr>
              <w:t xml:space="preserve">                -</w:t>
            </w:r>
          </w:p>
        </w:tc>
      </w:tr>
      <w:tr w:rsidR="00743CE5" w:rsidRPr="00743CE5" w:rsidTr="00CB150F">
        <w:tc>
          <w:tcPr>
            <w:tcW w:w="212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6"/>
                <w:szCs w:val="16"/>
                <w:lang w:eastAsia="ru-RU" w:bidi="ru-RU"/>
              </w:rPr>
            </w:pPr>
          </w:p>
        </w:tc>
        <w:tc>
          <w:tcPr>
            <w:tcW w:w="99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170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6"/>
                <w:szCs w:val="16"/>
                <w:lang w:eastAsia="ru-RU" w:bidi="ru-RU"/>
              </w:rPr>
            </w:pP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992"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6"/>
                <w:szCs w:val="16"/>
                <w:lang w:eastAsia="ru-RU" w:bidi="ru-RU"/>
              </w:rPr>
            </w:pPr>
          </w:p>
        </w:tc>
        <w:tc>
          <w:tcPr>
            <w:tcW w:w="1418"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6"/>
                <w:szCs w:val="18"/>
                <w:u w:val="double"/>
                <w:lang w:eastAsia="ru-RU" w:bidi="ru-RU"/>
              </w:rPr>
              <w:t>866,860,654</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Cs/>
                <w:color w:val="000000"/>
                <w:sz w:val="16"/>
                <w:szCs w:val="16"/>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6"/>
                <w:szCs w:val="18"/>
                <w:u w:val="double"/>
                <w:lang w:eastAsia="ru-RU" w:bidi="ru-RU"/>
              </w:rPr>
              <w:t>1,461,239,672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Доли в акционерном капитале с пометкой</w:t>
      </w:r>
      <w:proofErr w:type="gramStart"/>
      <w:r w:rsidRPr="00743CE5">
        <w:rPr>
          <w:rFonts w:ascii="Tahoma" w:eastAsia="Times New Roman" w:hAnsi="Tahoma" w:cs="Tahoma"/>
          <w:color w:val="000000"/>
          <w:sz w:val="18"/>
          <w:szCs w:val="18"/>
          <w:lang w:eastAsia="ru-RU" w:bidi="ru-RU"/>
        </w:rPr>
        <w:t xml:space="preserve"> (*) </w:t>
      </w:r>
      <w:proofErr w:type="gramEnd"/>
      <w:r w:rsidRPr="00743CE5">
        <w:rPr>
          <w:rFonts w:ascii="Tahoma" w:eastAsia="Times New Roman" w:hAnsi="Tahoma" w:cs="Tahoma"/>
          <w:color w:val="000000"/>
          <w:sz w:val="18"/>
          <w:szCs w:val="18"/>
          <w:lang w:eastAsia="ru-RU" w:bidi="ru-RU"/>
        </w:rPr>
        <w:t>предоставлены в качестве обеспечения по займам и кредитам Компании (Примечание 24) на соответствующие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Доли в акционерном капитале с пометкой</w:t>
      </w:r>
      <w:proofErr w:type="gramStart"/>
      <w:r w:rsidRPr="00743CE5">
        <w:rPr>
          <w:rFonts w:ascii="Tahoma" w:eastAsia="Times New Roman" w:hAnsi="Tahoma" w:cs="Tahoma"/>
          <w:color w:val="000000"/>
          <w:sz w:val="18"/>
          <w:szCs w:val="18"/>
          <w:lang w:eastAsia="ru-RU" w:bidi="ru-RU"/>
        </w:rPr>
        <w:t xml:space="preserve"> (**) </w:t>
      </w:r>
      <w:proofErr w:type="gramEnd"/>
      <w:r w:rsidRPr="00743CE5">
        <w:rPr>
          <w:rFonts w:ascii="Tahoma" w:eastAsia="Times New Roman" w:hAnsi="Tahoma" w:cs="Tahoma"/>
          <w:color w:val="000000"/>
          <w:sz w:val="18"/>
          <w:szCs w:val="18"/>
          <w:lang w:eastAsia="ru-RU" w:bidi="ru-RU"/>
        </w:rPr>
        <w:t>предоставлены в качестве обеспечения по займам и кредитам других компаний группы на соответствующие даты.</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об операциях, повлиявших на инвестиции в дочерние предприятия за годы, закончившиеся 31 декабря 2013 года и 31 декабря 2014 года, представлена ниже: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9 января 2013 года Компания продала 100% акций в капитале Lomnia Services Limited компании Quotex Limited за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21 января 2013 года Компания внесла взнос в капитал новой Компании Mokati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6 февраля 2013 года Компания продала 100% акций в капитале Quotex Limited компании Mokati Limited за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 апреля 2013 года Компания приобрела 100% акций в капитале Yellow Wall S.a.r.l. у компании Centralis S.A. за 12 500 евро, а 25 ноября 2013 года Компания продала данные акции Wallasey Limited за 12 500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2 мая 2013 года Компания приобрела 45 000 акций в капитале Invery Management Limited у компании Barrowgate International Inc. за 45 000 долларов США, и в тот же день Компания приобрела оставшиеся 5 000 акций в капитале Invery Management Limited в форме соглашения о подписке, по которому Компания уплатила 98 996 тысяч долларов США. 31 декабря 2013 года Компания продала</w:t>
      </w:r>
      <w:proofErr w:type="gramEnd"/>
      <w:r w:rsidRPr="00743CE5">
        <w:rPr>
          <w:rFonts w:ascii="Tahoma" w:eastAsia="Times New Roman" w:hAnsi="Tahoma" w:cs="Tahoma"/>
          <w:color w:val="000000"/>
          <w:sz w:val="18"/>
          <w:szCs w:val="18"/>
          <w:lang w:eastAsia="ru-RU" w:bidi="ru-RU"/>
        </w:rPr>
        <w:t xml:space="preserve"> 45 000 акций Invery Management Limited компании Ratado Holding Limited за 89 152 тысячи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мая 2013 года Компания продала 100% акций в капитале Annabeth Services Limited компании Letvion Investments Limited за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мая 2013 года Компания продала 100% акций в капитале Letvion Investments Limited компании Taavo Enterprises Limited за 1 000 евро. 25 июля 2013 года Компания приобрела 85% акций в капитале Letvion Investments Limited у компании Taavo Enterprises Limited за 850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 мая 2013 года Компания внесла взнос в капитал новой Компании Kolston Group Limited в объеме 50 000 акций по цене 1 доллар США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мая 2013 года Компания приобрела 100% акций в капитале White Estates Investments Limited у акционера Компании. Выплата в сумме 202 000 тысяч долларов США была произведена в виде выпуска погашаемых привилегированных акций.</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 июня 2013 года Компания внесла взнос в капитал новой Компании Fundin Investments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 июня 2013 года Компания внесла взнос в капитал новой Компании Gunilla Limited в объеме 1 000 акций по цене 1 евро каждая. 20 ноября 2013 года Компания продала 100% акций в капитале Gunilla Limited компании Sabaton Holding Limited за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августе</w:t>
      </w:r>
      <w:proofErr w:type="gramEnd"/>
      <w:r w:rsidRPr="00743CE5">
        <w:rPr>
          <w:rFonts w:ascii="Tahoma" w:eastAsia="Times New Roman" w:hAnsi="Tahoma" w:cs="Tahoma"/>
          <w:color w:val="000000"/>
          <w:sz w:val="18"/>
          <w:szCs w:val="18"/>
          <w:lang w:eastAsia="ru-RU" w:bidi="ru-RU"/>
        </w:rPr>
        <w:t xml:space="preserve"> 2013 года Компания приобрела 100% акций в капитале Cemvertia Investments Limited у компании Senteriano Investments Limited, Maria Georgiadou и Despo Sokratous за 14 428 тысяч долларов США.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августа 2013 года Компания внесла взнос в капитал новой Компании Minesign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октября 2013 года Компания внесла взнос в капитал новой Компании Mumford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 ноября 2013 года Компания внесла взнос в капитал новой Компании Thabit Holdings Limited в объеме 1 000 акций по цене 1 евро каждая.</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20 ноября 2013 года Компания внесла взнос в капитал новой Компании Sabaton Holdings Limited в объеме 1 000 акций по цене 1 евро каждая. 20 декабря 2013 года Компания внесла взнос для увеличения акционерного капитала Sabaton Holdings Limited в объеме дополнительных 1 000 акций по цене 1 евро каждая и для увеличения эмиссионного дохода на 84 458 тысяч долларов США.</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31 декабря 2013 года Компания подписалась на 1,000 акций компании Xeroma Management Limited с премией в сумме 8 825 361 доллар США. В этот же день Компания продала акции по подписке в капитале Xeroma Management Limited компании Bellrun Limited за 1 000 евро.</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Операции, проведенные в течение 2014 года: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29 января 2014 года Компания внесла взнос в капитал новой Компании Wakovia Limited в объеме 1 000 акций по цене 1 евро каждая.</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 февраля 2014 года Компания внесла взнос в капитал новой Компании Mooncrown Limited в объеме 1 000 акций по цене 1 евро каждая.</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4 марта 2014 года Компания внесла взнос в капитал новой компании Vielle Limited в объеме 1 000 акций по цене 1 евро каждая. 7 апреля 2014 года Компания подписалась еще на 1 000 акций с премией в размере 10 миллионов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5 мая 2014 года Компания продала 10% акций Invery Management Limited компании Ratado Holding Limited за 10 738 тысяч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 мая 2014 года Компания продала 100% акций в капитале Hines DPIII Development Limited компании Bellrun Trading Limited за 3 420 тысяч долларов США. Полученный убыток составил 76 191 тысячу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27 мая 2014 года Компания продала 100% акций в капитале Hines DPIII Realty Limited компании Bellrun Trading Limited за возмещение в размере 3 420 тысяч долларов США. Полученный убыток составил 65 475 тысяч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14 сентября 2014 года Компания подписалась еще на 100 акций Ratado Holding Limited с премией в размере 150 миллионов долларов США. Оплата за эти акции была произведена в этот же день посредством взноса 100% акционерного капитала Bitlena Holdings Limited в пользу Ratado Holding Limited.</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28 сентября 2014 года Компания внесла взнос в капитал новой компании Simeona Limited в объеме 1 000 акций по цене 1 евро каждая.</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 октября 2014 года Компания внесла взнос в капитал новой компании O1 Advisory Limited в объеме 1 000 акций по цене 1 евро каждая.</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16 декабря 2014 года Компания продала 100% акций в капитале White Estate Investments Limited компании Polostera Holding Limited за 249 миллионов долларов США. Полученная прибыль составила 34 934 тысячи долларов США.</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18 декабря 2014 года Компания приобрела 100% в капитале Moonpeak Limited за 1 000 евро.</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17. Финансовые активы, оцениваемые по справедливой стоимости, изменения которой отражаются в составе прибыли или убытка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i/>
          <w:color w:val="000000"/>
          <w:sz w:val="18"/>
          <w:szCs w:val="18"/>
          <w:u w:val="single"/>
          <w:lang w:eastAsia="ru-RU" w:bidi="ru-RU"/>
        </w:rPr>
      </w:pPr>
      <w:r w:rsidRPr="00743CE5">
        <w:rPr>
          <w:rFonts w:ascii="Tahoma" w:eastAsia="Times New Roman" w:hAnsi="Tahoma" w:cs="Tahoma"/>
          <w:i/>
          <w:color w:val="000000"/>
          <w:sz w:val="18"/>
          <w:szCs w:val="18"/>
          <w:u w:val="single"/>
          <w:lang w:eastAsia="ru-RU" w:bidi="ru-RU"/>
        </w:rPr>
        <w:t>Доход по дивидендам от инвестиций в дочерние предприятия</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дивидендах, полученных Компанией от своих дочерних предприятий, представлена ниже: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464" w:type="dxa"/>
        <w:tblLayout w:type="fixed"/>
        <w:tblLook w:val="0000" w:firstRow="0" w:lastRow="0" w:firstColumn="0" w:lastColumn="0" w:noHBand="0" w:noVBand="0"/>
      </w:tblPr>
      <w:tblGrid>
        <w:gridCol w:w="6629"/>
        <w:gridCol w:w="1559"/>
        <w:gridCol w:w="1276"/>
      </w:tblGrid>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2013 г. </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6" w:type="dxa"/>
          </w:tcPr>
          <w:p w:rsidR="00743CE5" w:rsidRPr="00743CE5" w:rsidDel="005D6779"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Tropical Sunset Holdings Inc</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135,370,430</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Sabaton Holdings Limited</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14,380,000</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22,450,000</w:t>
            </w:r>
            <w:r w:rsidRPr="00743CE5">
              <w:rPr>
                <w:rFonts w:ascii="Tahoma" w:eastAsia="Times New Roman" w:hAnsi="Tahoma" w:cs="Tahoma"/>
                <w:color w:val="000000"/>
                <w:sz w:val="18"/>
                <w:szCs w:val="18"/>
                <w:lang w:eastAsia="ru-RU" w:bidi="ru-RU"/>
              </w:rPr>
              <w:tab/>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112,126,613</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«Наш Стандарт»</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781,913</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703,530</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Bitlena Holdings Ltd</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4,178,000</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Valnaz Investments Ltd</w:t>
            </w: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1,500,000</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Hines DPIII Development Ltd</w:t>
            </w:r>
          </w:p>
        </w:tc>
        <w:tc>
          <w:tcPr>
            <w:tcW w:w="1559" w:type="dxa"/>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135,484,315</w:t>
            </w:r>
          </w:p>
        </w:tc>
        <w:tc>
          <w:tcPr>
            <w:tcW w:w="1276" w:type="dxa"/>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p>
        </w:tc>
      </w:tr>
      <w:tr w:rsidR="00743CE5" w:rsidRPr="00743CE5" w:rsidTr="00CB150F">
        <w:tc>
          <w:tcPr>
            <w:tcW w:w="662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559" w:type="dxa"/>
          </w:tcPr>
          <w:p w:rsidR="00743CE5" w:rsidRPr="00743CE5" w:rsidRDefault="00743CE5" w:rsidP="00743CE5">
            <w:pPr>
              <w:widowControl w:val="0"/>
              <w:tabs>
                <w:tab w:val="right" w:pos="1134"/>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178,774,228</w:t>
            </w:r>
          </w:p>
        </w:tc>
        <w:tc>
          <w:tcPr>
            <w:tcW w:w="1276" w:type="dxa"/>
          </w:tcPr>
          <w:p w:rsidR="00743CE5" w:rsidRPr="00743CE5" w:rsidRDefault="00743CE5" w:rsidP="00743CE5">
            <w:pPr>
              <w:widowControl w:val="0"/>
              <w:tabs>
                <w:tab w:val="right" w:pos="1176"/>
                <w:tab w:val="left" w:pos="120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 xml:space="preserve">248,200,573                </w:t>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18. Финансовые активы, имеющиеся в наличии для продажи</w:t>
      </w:r>
      <w:proofErr w:type="gramStart"/>
      <w:r w:rsidRPr="00743CE5">
        <w:rPr>
          <w:rFonts w:ascii="Tahoma" w:eastAsia="Times New Roman" w:hAnsi="Tahoma" w:cs="Tahoma"/>
          <w:b/>
          <w:bCs/>
          <w:color w:val="000000"/>
          <w:sz w:val="18"/>
          <w:szCs w:val="18"/>
          <w:lang w:eastAsia="ru-RU" w:bidi="ru-RU"/>
        </w:rPr>
        <w:noBreakHyphen/>
      </w:r>
      <w:r w:rsidRPr="00743CE5">
        <w:rPr>
          <w:rFonts w:ascii="Tahoma" w:eastAsia="Times New Roman" w:hAnsi="Tahoma" w:cs="Tahoma"/>
          <w:b/>
          <w:bCs/>
          <w:color w:val="000000"/>
          <w:sz w:val="18"/>
          <w:szCs w:val="18"/>
          <w:lang w:eastAsia="ru-RU" w:bidi="ru-RU"/>
        </w:rPr>
        <w:noBreakHyphen/>
        <w:t xml:space="preserve"> </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 1 января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658,548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Поступления</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658,548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Остаток на 31 декабря</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658,548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658,548</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 состоянию на конец марта 2013 года остатки денежных средств Компании в Банке Кипра составили 2 256 тысяч евро. Сумма в размере 1 024 тысячи евро, представляющая собой 47,5% незастрахованных депозитов, конвертирована в акции Банка Кипр номинальной стоимостью 1 евро за акцию после вовлечения незастрахованных вкладчиков (суммы свыше 100 тысяч евро) в программу рекапитализации Банка Кипра.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2"/>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Согласно оценке руководства, был понесен убыток от обесценения остатков на банковских счетах в сумме 658 548 долларов США, отраженный в составе прибыли или убытка за год, закончившийся 31 декабря 2013 года (Примечание 9), и акции, полученные в результате конвертации банковских вкладов в акции, как описано выше, отражены в сумме 658 548 долларов США.</w:t>
      </w:r>
      <w:proofErr w:type="gramEnd"/>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19. Производные финансовые инструменты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6667"/>
        <w:gridCol w:w="1411"/>
        <w:gridCol w:w="1282"/>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2013 г. </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Активы – положительная справедливая стоимость</w:t>
            </w: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jc w:val="center"/>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1,700,274</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2,027,023</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jc w:val="center"/>
              <w:rPr>
                <w:rFonts w:ascii="Tahoma" w:eastAsia="Times New Roman" w:hAnsi="Tahoma" w:cs="Tahoma"/>
                <w:b/>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1,700,274</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double"/>
                <w:lang w:eastAsia="ru-RU" w:bidi="ru-RU"/>
              </w:rPr>
              <w:t xml:space="preserve">    2,027,023</w:t>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45" w:type="dxa"/>
        <w:tblLayout w:type="fixed"/>
        <w:tblCellMar>
          <w:left w:w="45" w:type="dxa"/>
          <w:right w:w="45" w:type="dxa"/>
        </w:tblCellMar>
        <w:tblLook w:val="0000" w:firstRow="0" w:lastRow="0" w:firstColumn="0" w:lastColumn="0" w:noHBand="0" w:noVBand="0"/>
      </w:tblPr>
      <w:tblGrid>
        <w:gridCol w:w="6667"/>
        <w:gridCol w:w="1411"/>
        <w:gridCol w:w="1282"/>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2013 </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82"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Обязательства – отрицательная справедливая стоимость</w:t>
            </w: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5,593,486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164"/>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685,525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Pr>
          <w:p w:rsidR="00743CE5" w:rsidRPr="00743CE5" w:rsidRDefault="00743CE5" w:rsidP="00743CE5">
            <w:pPr>
              <w:widowControl w:val="0"/>
              <w:tabs>
                <w:tab w:val="right" w:pos="1294"/>
                <w:tab w:val="left" w:pos="132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5,593,486</w:t>
            </w:r>
            <w:r w:rsidRPr="00743CE5">
              <w:rPr>
                <w:rFonts w:ascii="Tahoma" w:eastAsia="Times New Roman" w:hAnsi="Tahoma" w:cs="Tahoma"/>
                <w:color w:val="000000"/>
                <w:sz w:val="18"/>
                <w:szCs w:val="18"/>
                <w:lang w:eastAsia="ru-RU" w:bidi="ru-RU"/>
              </w:rPr>
              <w:tab/>
            </w:r>
          </w:p>
        </w:tc>
        <w:tc>
          <w:tcPr>
            <w:tcW w:w="1282" w:type="dxa"/>
            <w:tcBorders>
              <w:top w:val="nil"/>
              <w:left w:val="nil"/>
              <w:bottom w:val="nil"/>
              <w:right w:val="nil"/>
            </w:tcBorders>
          </w:tcPr>
          <w:p w:rsidR="00743CE5" w:rsidRPr="00743CE5" w:rsidRDefault="00743CE5" w:rsidP="00743CE5">
            <w:pPr>
              <w:widowControl w:val="0"/>
              <w:tabs>
                <w:tab w:val="right" w:pos="1164"/>
                <w:tab w:val="left" w:pos="1190"/>
              </w:tabs>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685,525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2014 года Компания имела договоры на процентные свопы в общей сумме 215 700 000 долларов США (2013 г.: 215 700 000 долларов США), </w:t>
      </w:r>
      <w:r w:rsidRPr="00743CE5">
        <w:rPr>
          <w:rFonts w:ascii="Arial" w:eastAsia="Times New Roman" w:hAnsi="Arial" w:cs="Arial"/>
          <w:color w:val="000000"/>
          <w:sz w:val="19"/>
          <w:szCs w:val="19"/>
          <w:lang w:eastAsia="ru-RU" w:bidi="ru-RU"/>
        </w:rPr>
        <w:t>истекающие 28 июля 2016 года</w:t>
      </w:r>
      <w:r w:rsidRPr="00743CE5">
        <w:rPr>
          <w:rFonts w:ascii="Tahoma" w:eastAsia="Times New Roman" w:hAnsi="Tahoma" w:cs="Tahoma"/>
          <w:color w:val="000000"/>
          <w:sz w:val="18"/>
          <w:szCs w:val="18"/>
          <w:lang w:eastAsia="ru-RU" w:bidi="ru-RU"/>
        </w:rPr>
        <w:t xml:space="preserve">, по которым Группа осуществляла выплаты по фиксированной ставке в обмен на плавающую ставку.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2014 года чистая отрицательная справедливая стоимость этих договоров составила 3 893 212 долларов США (2013 г.: чистая положительная справедливая стоимость 1 341 498 долларов США).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 xml:space="preserve">20. Дебиторская задолженность по займам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собственным дочерним предприятиям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84,845,938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35,806,230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связанным сторонам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161,473,965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49,260,087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третьим сторонам</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538,485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502,428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246,858,388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85,568,745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 вычетом текущей части</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(76,827,859)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(35,944,600)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Долгосрочная часть</w:t>
            </w:r>
            <w:r w:rsidRPr="00743CE5">
              <w:rPr>
                <w:rFonts w:ascii="Tahoma" w:eastAsia="Times New Roman" w:hAnsi="Tahoma" w:cs="Tahoma"/>
                <w:b/>
                <w:bCs/>
                <w:color w:val="000000"/>
                <w:sz w:val="18"/>
                <w:szCs w:val="18"/>
                <w:lang w:eastAsia="ru-RU" w:bidi="ru-RU"/>
              </w:rPr>
              <w:noBreakHyphen/>
              <w:t xml:space="preserve"> </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170,030,529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49,624,145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Кредиты и займы подлежат </w:t>
      </w:r>
      <w:proofErr w:type="gramStart"/>
      <w:r w:rsidRPr="00743CE5">
        <w:rPr>
          <w:rFonts w:ascii="Tahoma" w:eastAsia="Times New Roman" w:hAnsi="Tahoma" w:cs="Tahoma"/>
          <w:color w:val="000000"/>
          <w:sz w:val="18"/>
          <w:szCs w:val="18"/>
          <w:lang w:eastAsia="ru-RU" w:bidi="ru-RU"/>
        </w:rPr>
        <w:t>погашению</w:t>
      </w:r>
      <w:proofErr w:type="gramEnd"/>
      <w:r w:rsidRPr="00743CE5">
        <w:rPr>
          <w:rFonts w:ascii="Tahoma" w:eastAsia="Times New Roman" w:hAnsi="Tahoma" w:cs="Tahoma"/>
          <w:color w:val="000000"/>
          <w:sz w:val="18"/>
          <w:szCs w:val="18"/>
          <w:lang w:eastAsia="ru-RU" w:bidi="ru-RU"/>
        </w:rPr>
        <w:t xml:space="preserve"> согласно следующему графику: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Менее 1 года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76,827,859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35,944,600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Сроком от 1 года до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127,883,057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19,349,113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Свыше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 xml:space="preserve">  42,147,472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30,275,032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246,858,388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85,568,745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noBreakHyphen/>
        <w:t>Справедливая стоимость долгосрочной дебиторской задолженности приблизительно равна ее балансовой стоимости, как указано выше.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21. Дебиторская задолженность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собственных дочерних предприятий и прочих связанных сторон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428,439,036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28,973,568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акционеров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24,806,698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225,003,565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Депозиты и предоплата</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7,500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23,001,000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Прочая дебиторская задолженность</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7,780,532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699,889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461,033,766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277,678,022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торговой и прочей дебиторской задолженности со сроком погашения до 1 года приблизительно равна ее балансовой стоимости, как указано выше.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22. Денежные средства и их эквиваленты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Анализ остатков денежных сре</w:t>
      </w:r>
      <w:proofErr w:type="gramStart"/>
      <w:r w:rsidRPr="00743CE5">
        <w:rPr>
          <w:rFonts w:ascii="Tahoma" w:eastAsia="Times New Roman" w:hAnsi="Tahoma" w:cs="Tahoma"/>
          <w:color w:val="000000"/>
          <w:sz w:val="18"/>
          <w:szCs w:val="18"/>
          <w:lang w:eastAsia="ru-RU" w:bidi="ru-RU"/>
        </w:rPr>
        <w:t>дств пр</w:t>
      </w:r>
      <w:proofErr w:type="gramEnd"/>
      <w:r w:rsidRPr="00743CE5">
        <w:rPr>
          <w:rFonts w:ascii="Tahoma" w:eastAsia="Times New Roman" w:hAnsi="Tahoma" w:cs="Tahoma"/>
          <w:color w:val="000000"/>
          <w:sz w:val="18"/>
          <w:szCs w:val="18"/>
          <w:lang w:eastAsia="ru-RU" w:bidi="ru-RU"/>
        </w:rPr>
        <w:t>едставлен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Средства в банке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838,368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1,678,116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838,368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 xml:space="preserve">Анализ по валютам: </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Доллары США</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827,892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1,656,563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Евро</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5,469</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18,882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Российский рубль</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5,007</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2,671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double"/>
                <w:lang w:eastAsia="ru-RU" w:bidi="ru-RU"/>
              </w:rPr>
              <w:t xml:space="preserve">     838 368</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1,678,116</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23. Акционерный капитал и эмиссионный доход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10215" w:type="dxa"/>
        <w:tblInd w:w="39" w:type="dxa"/>
        <w:tblLayout w:type="fixed"/>
        <w:tblCellMar>
          <w:left w:w="0" w:type="dxa"/>
          <w:right w:w="0" w:type="dxa"/>
        </w:tblCellMar>
        <w:tblLook w:val="0000" w:firstRow="0" w:lastRow="0" w:firstColumn="0" w:lastColumn="0" w:noHBand="0" w:noVBand="0"/>
      </w:tblPr>
      <w:tblGrid>
        <w:gridCol w:w="2260"/>
        <w:gridCol w:w="1296"/>
        <w:gridCol w:w="1138"/>
        <w:gridCol w:w="1118"/>
        <w:gridCol w:w="1560"/>
        <w:gridCol w:w="1417"/>
        <w:gridCol w:w="1426"/>
      </w:tblGrid>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Выпущенный и полностью оплаченный</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Количество обыкновенных акций</w:t>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Количество привилегированных акций</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Акционерный капитал</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обыкновенные акции</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Эмиссионный доход – </w:t>
            </w:r>
          </w:p>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погашаемые привилегированные акции</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Итого</w:t>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 xml:space="preserve">Остаток </w:t>
            </w:r>
            <w:proofErr w:type="gramStart"/>
            <w:r w:rsidRPr="00743CE5">
              <w:rPr>
                <w:rFonts w:ascii="Tahoma" w:eastAsia="Times New Roman" w:hAnsi="Tahoma" w:cs="Tahoma"/>
                <w:color w:val="000000"/>
                <w:sz w:val="18"/>
                <w:szCs w:val="18"/>
                <w:lang w:eastAsia="ru-RU" w:bidi="ru-RU"/>
              </w:rPr>
              <w:noBreakHyphen/>
              <w:t>н</w:t>
            </w:r>
            <w:proofErr w:type="gramEnd"/>
            <w:r w:rsidRPr="00743CE5">
              <w:rPr>
                <w:rFonts w:ascii="Tahoma" w:eastAsia="Times New Roman" w:hAnsi="Tahoma" w:cs="Tahoma"/>
                <w:color w:val="000000"/>
                <w:sz w:val="18"/>
                <w:szCs w:val="18"/>
                <w:lang w:eastAsia="ru-RU" w:bidi="ru-RU"/>
              </w:rPr>
              <w:t>а 1 января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50,193,544</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16,790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667,972</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471,245,927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167,899,832</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639,813,731</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 (акции класса А)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20,381,490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203,815</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(203,815)</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05"/>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 (акции класса В)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199,120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2,595</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2,595</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акций 30 декабря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11,503,068</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150,947</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224,849,057</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225,000,004</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Выпуск погашаемых привилегированных акций 9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20,200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202</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33"/>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201,999,798</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20"/>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202,000,000</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Погашение привилегированных акций 28 июня 2013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36,990</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(36,990)</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left" w:pos="931"/>
                <w:tab w:val="right" w:pos="1028"/>
              </w:tabs>
              <w:autoSpaceDE w:val="0"/>
              <w:autoSpaceDN w:val="0"/>
              <w:adjustRightInd w:val="0"/>
              <w:spacing w:after="0" w:line="240" w:lineRule="auto"/>
              <w:jc w:val="right"/>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369,899,630</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62"/>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(369,899,630)</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205"/>
                <w:tab w:val="left" w:pos="1346"/>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 xml:space="preserve">                      </w:t>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Остаток на 31 декабря 2013 года / 1 января 2014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82,314,212</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1,025,531</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1,065,790,799</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5"/>
                <w:tab w:val="left" w:pos="1286"/>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15"/>
                <w:tab w:val="left" w:pos="1341"/>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1,066,816,330</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5"/>
                <w:tab w:val="left" w:pos="1286"/>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15"/>
                <w:tab w:val="left" w:pos="1341"/>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88,751</w:t>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1,227</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1,227</w:t>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Дополнительный выпуск обыкновенных акций</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74,114</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lang w:eastAsia="ru-RU" w:bidi="ru-RU"/>
              </w:rPr>
              <w:t>1,022</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w:t>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7"/>
                <w:tab w:val="left" w:pos="1288"/>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1,022</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Остаток на 31 декабря 2014 года</w:t>
            </w: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82,477,077</w:t>
            </w:r>
            <w:r w:rsidRPr="00743CE5">
              <w:rPr>
                <w:rFonts w:ascii="Tahoma" w:eastAsia="Times New Roman" w:hAnsi="Tahoma" w:cs="Tahoma"/>
                <w:color w:val="000000"/>
                <w:sz w:val="18"/>
                <w:szCs w:val="18"/>
                <w:lang w:eastAsia="ru-RU" w:bidi="ru-RU"/>
              </w:rPr>
              <w:tab/>
            </w: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 xml:space="preserve">          -</w:t>
            </w: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1,027,780</w:t>
            </w: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1,065,790,799</w:t>
            </w:r>
            <w:r w:rsidRPr="00743CE5">
              <w:rPr>
                <w:rFonts w:ascii="Tahoma" w:eastAsia="Times New Roman" w:hAnsi="Tahoma" w:cs="Tahoma"/>
                <w:color w:val="000000"/>
                <w:sz w:val="18"/>
                <w:szCs w:val="18"/>
                <w:lang w:eastAsia="ru-RU" w:bidi="ru-RU"/>
              </w:rPr>
              <w:tab/>
            </w: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5"/>
                <w:tab w:val="left" w:pos="1286"/>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15"/>
                <w:tab w:val="left" w:pos="1341"/>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r w:rsidRPr="00743CE5">
              <w:rPr>
                <w:rFonts w:ascii="Tahoma" w:eastAsia="Times New Roman" w:hAnsi="Tahoma" w:cs="Tahoma"/>
                <w:b/>
                <w:color w:val="000000"/>
                <w:sz w:val="18"/>
                <w:szCs w:val="18"/>
                <w:u w:val="double"/>
                <w:lang w:eastAsia="ru-RU" w:bidi="ru-RU"/>
              </w:rPr>
              <w:t>1,066,818,579</w:t>
            </w:r>
            <w:r w:rsidRPr="00743CE5">
              <w:rPr>
                <w:rFonts w:ascii="Tahoma" w:eastAsia="Times New Roman" w:hAnsi="Tahoma" w:cs="Tahoma"/>
                <w:color w:val="000000"/>
                <w:sz w:val="18"/>
                <w:szCs w:val="18"/>
                <w:lang w:eastAsia="ru-RU" w:bidi="ru-RU"/>
              </w:rPr>
              <w:tab/>
            </w: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5"/>
                <w:tab w:val="left" w:pos="1286"/>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15"/>
                <w:tab w:val="left" w:pos="1341"/>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r>
      <w:tr w:rsidR="00743CE5" w:rsidRPr="00743CE5" w:rsidTr="00CB150F">
        <w:tc>
          <w:tcPr>
            <w:tcW w:w="2260" w:type="dxa"/>
            <w:tcBorders>
              <w:top w:val="nil"/>
              <w:left w:val="nil"/>
              <w:bottom w:val="nil"/>
              <w:right w:val="nil"/>
            </w:tcBorders>
            <w:tcMar>
              <w:left w:w="39" w:type="dxa"/>
              <w:right w:w="39"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tc>
        <w:tc>
          <w:tcPr>
            <w:tcW w:w="1296"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13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center"/>
              <w:rPr>
                <w:rFonts w:ascii="Tahoma" w:eastAsia="Times New Roman" w:hAnsi="Tahoma" w:cs="Tahoma"/>
                <w:b/>
                <w:bCs/>
                <w:color w:val="000000"/>
                <w:sz w:val="18"/>
                <w:szCs w:val="18"/>
                <w:u w:val="double"/>
                <w:lang w:eastAsia="ru-RU" w:bidi="ru-RU"/>
              </w:rPr>
            </w:pPr>
          </w:p>
        </w:tc>
        <w:tc>
          <w:tcPr>
            <w:tcW w:w="1118" w:type="dxa"/>
            <w:tcBorders>
              <w:top w:val="nil"/>
              <w:left w:val="nil"/>
              <w:bottom w:val="nil"/>
              <w:right w:val="nil"/>
            </w:tcBorders>
            <w:tcMar>
              <w:left w:w="45" w:type="dxa"/>
              <w:right w:w="45" w:type="dxa"/>
            </w:tcMar>
            <w:vAlign w:val="bottom"/>
          </w:tcPr>
          <w:p w:rsidR="00743CE5" w:rsidRPr="00743CE5" w:rsidRDefault="00743CE5" w:rsidP="00743CE5">
            <w:pPr>
              <w:widowControl w:val="0"/>
              <w:tabs>
                <w:tab w:val="right" w:pos="1248"/>
                <w:tab w:val="left" w:pos="1274"/>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560"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447"/>
                <w:tab w:val="left" w:pos="1473"/>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17"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45"/>
                <w:tab w:val="left" w:pos="1286"/>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c>
          <w:tcPr>
            <w:tcW w:w="1426"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15"/>
                <w:tab w:val="left" w:pos="1341"/>
              </w:tabs>
              <w:autoSpaceDE w:val="0"/>
              <w:autoSpaceDN w:val="0"/>
              <w:adjustRightInd w:val="0"/>
              <w:spacing w:after="0" w:line="240" w:lineRule="auto"/>
              <w:jc w:val="right"/>
              <w:rPr>
                <w:rFonts w:ascii="Tahoma" w:eastAsia="Times New Roman" w:hAnsi="Tahoma" w:cs="Tahoma"/>
                <w:b/>
                <w:bCs/>
                <w:color w:val="000000"/>
                <w:sz w:val="18"/>
                <w:szCs w:val="18"/>
                <w:u w:val="double"/>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23. Акционерный капитал и эмиссионный доход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События, произошедшие в 2014 году:</w:t>
      </w:r>
    </w:p>
    <w:p w:rsidR="00743CE5" w:rsidRPr="00743CE5" w:rsidRDefault="00743CE5" w:rsidP="00743CE5">
      <w:pPr>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4"/>
          <w:lang w:eastAsia="ru-RU" w:bidi="ru-RU"/>
        </w:rPr>
        <w:t xml:space="preserve">В </w:t>
      </w:r>
      <w:proofErr w:type="gramStart"/>
      <w:r w:rsidRPr="00743CE5">
        <w:rPr>
          <w:rFonts w:ascii="Tahoma" w:eastAsia="Times New Roman" w:hAnsi="Tahoma" w:cs="Times New Roman"/>
          <w:color w:val="000000"/>
          <w:sz w:val="18"/>
          <w:szCs w:val="24"/>
          <w:lang w:eastAsia="ru-RU" w:bidi="ru-RU"/>
        </w:rPr>
        <w:t>январе</w:t>
      </w:r>
      <w:proofErr w:type="gramEnd"/>
      <w:r w:rsidRPr="00743CE5">
        <w:rPr>
          <w:rFonts w:ascii="Tahoma" w:eastAsia="Times New Roman" w:hAnsi="Tahoma" w:cs="Times New Roman"/>
          <w:color w:val="000000"/>
          <w:sz w:val="18"/>
          <w:szCs w:val="24"/>
          <w:lang w:eastAsia="ru-RU" w:bidi="ru-RU"/>
        </w:rPr>
        <w:t xml:space="preserve"> и апреле 2014 года акционеры Компании утвердили дивиденды в сумме 29 598 тысяч долларов США по акциям класса «А» и дивиденды в сумме 33 915 тысяч долларов США по акциям класса «В». В </w:t>
      </w:r>
      <w:proofErr w:type="gramStart"/>
      <w:r w:rsidRPr="00743CE5">
        <w:rPr>
          <w:rFonts w:ascii="Tahoma" w:eastAsia="Times New Roman" w:hAnsi="Tahoma" w:cs="Times New Roman"/>
          <w:color w:val="000000"/>
          <w:sz w:val="18"/>
          <w:szCs w:val="24"/>
          <w:lang w:eastAsia="ru-RU" w:bidi="ru-RU"/>
        </w:rPr>
        <w:t>сентябре</w:t>
      </w:r>
      <w:proofErr w:type="gramEnd"/>
      <w:r w:rsidRPr="00743CE5">
        <w:rPr>
          <w:rFonts w:ascii="Tahoma" w:eastAsia="Times New Roman" w:hAnsi="Tahoma" w:cs="Times New Roman"/>
          <w:color w:val="000000"/>
          <w:sz w:val="18"/>
          <w:szCs w:val="24"/>
          <w:lang w:eastAsia="ru-RU" w:bidi="ru-RU"/>
        </w:rPr>
        <w:t xml:space="preserve"> 2014 года акционеры Компании утвердили дивиденды в сумме 2 500 тысяч долларов США по акциям класса «А». В </w:t>
      </w:r>
      <w:proofErr w:type="gramStart"/>
      <w:r w:rsidRPr="00743CE5">
        <w:rPr>
          <w:rFonts w:ascii="Tahoma" w:eastAsia="Times New Roman" w:hAnsi="Tahoma" w:cs="Times New Roman"/>
          <w:color w:val="000000"/>
          <w:sz w:val="18"/>
          <w:szCs w:val="24"/>
          <w:lang w:eastAsia="ru-RU" w:bidi="ru-RU"/>
        </w:rPr>
        <w:t>октябре</w:t>
      </w:r>
      <w:proofErr w:type="gramEnd"/>
      <w:r w:rsidRPr="00743CE5">
        <w:rPr>
          <w:rFonts w:ascii="Tahoma" w:eastAsia="Times New Roman" w:hAnsi="Tahoma" w:cs="Times New Roman"/>
          <w:color w:val="000000"/>
          <w:sz w:val="18"/>
          <w:szCs w:val="24"/>
          <w:lang w:eastAsia="ru-RU" w:bidi="ru-RU"/>
        </w:rPr>
        <w:t xml:space="preserve"> 2014 года директора Компании утвердили дивиденды в сумме 12 210 тысяч долларов США по акциям класса «А». В </w:t>
      </w:r>
      <w:proofErr w:type="gramStart"/>
      <w:r w:rsidRPr="00743CE5">
        <w:rPr>
          <w:rFonts w:ascii="Tahoma" w:eastAsia="Times New Roman" w:hAnsi="Tahoma" w:cs="Times New Roman"/>
          <w:color w:val="000000"/>
          <w:sz w:val="18"/>
          <w:szCs w:val="24"/>
          <w:lang w:eastAsia="ru-RU" w:bidi="ru-RU"/>
        </w:rPr>
        <w:t>ноябре</w:t>
      </w:r>
      <w:proofErr w:type="gramEnd"/>
      <w:r w:rsidRPr="00743CE5">
        <w:rPr>
          <w:rFonts w:ascii="Tahoma" w:eastAsia="Times New Roman" w:hAnsi="Tahoma" w:cs="Times New Roman"/>
          <w:color w:val="000000"/>
          <w:sz w:val="18"/>
          <w:szCs w:val="24"/>
          <w:lang w:eastAsia="ru-RU" w:bidi="ru-RU"/>
        </w:rPr>
        <w:t xml:space="preserve"> 2014 года директора Компании утвердили дивиденды в сумме 6 292 тысячи долларов США по акциям класса «В».</w:t>
      </w:r>
    </w:p>
    <w:p w:rsidR="00743CE5" w:rsidRPr="00743CE5" w:rsidRDefault="00743CE5" w:rsidP="00743CE5">
      <w:pPr>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4"/>
          <w:lang w:eastAsia="ru-RU" w:bidi="ru-RU"/>
        </w:rPr>
        <w:t>Дивиденды за 2014 год были объявлены в сумме 2,17 долларов США на акцию класса «А» и 0,65 долларов США на акцию класса «В».</w:t>
      </w:r>
    </w:p>
    <w:p w:rsidR="00743CE5" w:rsidRPr="00743CE5" w:rsidRDefault="00743CE5" w:rsidP="00743CE5">
      <w:pPr>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imes New Roman"/>
          <w:color w:val="000000"/>
          <w:sz w:val="18"/>
          <w:szCs w:val="24"/>
          <w:lang w:eastAsia="ru-RU" w:bidi="ru-RU"/>
        </w:rPr>
        <w:t xml:space="preserve">В </w:t>
      </w:r>
      <w:proofErr w:type="gramStart"/>
      <w:r w:rsidRPr="00743CE5">
        <w:rPr>
          <w:rFonts w:ascii="Tahoma" w:eastAsia="Times New Roman" w:hAnsi="Tahoma" w:cs="Times New Roman"/>
          <w:color w:val="000000"/>
          <w:sz w:val="18"/>
          <w:szCs w:val="24"/>
          <w:lang w:eastAsia="ru-RU" w:bidi="ru-RU"/>
        </w:rPr>
        <w:t>апреле</w:t>
      </w:r>
      <w:proofErr w:type="gramEnd"/>
      <w:r w:rsidRPr="00743CE5">
        <w:rPr>
          <w:rFonts w:ascii="Tahoma" w:eastAsia="Times New Roman" w:hAnsi="Tahoma" w:cs="Times New Roman"/>
          <w:color w:val="000000"/>
          <w:sz w:val="18"/>
          <w:szCs w:val="24"/>
          <w:lang w:eastAsia="ru-RU" w:bidi="ru-RU"/>
        </w:rPr>
        <w:t xml:space="preserve"> 2014 года некоторые члены высшего руководства Группы или ее дочерних предприятий оформили подписку на 266 250 акций класса «В» Компании по номинальной стоимости, из которых 162 865 акций были выпущены по состоянию 31 декабря 2014 года. Акции регистрируются на имя соответствующих акционеров по частям в течение периода с 17 апреля 2014 года по 1 января 2016 года. Незарегистрированные части не могут быть зарегистрированы лишь в случае увольнения соответствующего члена руководства Группы в связи с его грубой небрежностью при исполнении своих обязанностей. Данная подписка была отражена в составе капитала по справедливой стоимости подписанных акций на дату подписки и частично представляла собой вознаграждение по итогам деятельности высшего руководства, начисленное по состоянию на 31 декабря 2013 года в сумме 4 400 тысяч долларов США.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События, произошедшие в 2013 году: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9 июня 2013 года Компания выпустила 20 200 погашаемых привилегированных акций в пользу Nori Holdings Limited с номинальной стоимостью 0,01 доллара США и эмиссионным доходом 9 999,99 долларов США. Акции были выпущены в качестве возмещения за передачу компанией Nori Holdings Limited 100% акций в капитале White Estates Investments Limited (приобретение White Square).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roofErr w:type="gramStart"/>
      <w:r w:rsidRPr="00743CE5">
        <w:rPr>
          <w:rFonts w:ascii="Tahoma" w:eastAsia="Times New Roman" w:hAnsi="Tahoma" w:cs="Tahoma"/>
          <w:color w:val="000000"/>
          <w:sz w:val="18"/>
          <w:szCs w:val="18"/>
          <w:lang w:eastAsia="ru-RU" w:bidi="ru-RU"/>
        </w:rPr>
        <w:t>В июне 2013 года акционеры Компании утвердили реструктуризацию акционерного капитала, в соответствии с которой: (1) объявленные 37 500 погашаемых привилегированных акций номинальной стоимостью 0,01 доллара США за акцию были конвертированы в 20 700 000 акций класса «A» номинальной стоимостью 0,01 доллара США за акцию;</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(2) объявленные 200 000 000 обыкновенных акций номинальной стоимостью 0,01 евро за акцию были конвертированы в 200 000 000 акций класса «B» номинальной стоимостью 0,01 евро за акцию; (3) выпущенные 36 990 погашаемых привилегированных акций номинальной стоимостью 0,01 доллара США за акцию были конвертированы в 36 990 акций класса «A» номинальной стоимостью 0,01 доллара США за акцию;</w:t>
      </w:r>
      <w:proofErr w:type="gramEnd"/>
      <w:r w:rsidRPr="00743CE5">
        <w:rPr>
          <w:rFonts w:ascii="Tahoma" w:eastAsia="Times New Roman" w:hAnsi="Tahoma" w:cs="Tahoma"/>
          <w:color w:val="000000"/>
          <w:sz w:val="18"/>
          <w:szCs w:val="18"/>
          <w:lang w:eastAsia="ru-RU" w:bidi="ru-RU"/>
        </w:rPr>
        <w:t xml:space="preserve"> </w:t>
      </w:r>
      <w:proofErr w:type="gramStart"/>
      <w:r w:rsidRPr="00743CE5">
        <w:rPr>
          <w:rFonts w:ascii="Tahoma" w:eastAsia="Times New Roman" w:hAnsi="Tahoma" w:cs="Tahoma"/>
          <w:color w:val="000000"/>
          <w:sz w:val="18"/>
          <w:szCs w:val="18"/>
          <w:lang w:eastAsia="ru-RU" w:bidi="ru-RU"/>
        </w:rPr>
        <w:t>(4) выпущенные 50 193 544 обыкновенных акции номинальной стоимостью 0,01 евро за акцию были конвертированы в 50 193 544 акции класса «B» номинальной стоимостью 0,01 евро за акцию; и (5) дополнительные 20 381 490 акций класса «A» номинальной стоимостью 0,01 доллара США за акцию были выпущены из объявленного акционерного капитала и распределены в пользу Nori Holding Limited.</w:t>
      </w:r>
      <w:proofErr w:type="gramEnd"/>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соответствии с Уставом Компании акции класса «A» (1) не имеют права голоса, (2) предоставляют возможность получения некумулятивны</w:t>
      </w:r>
      <w:proofErr w:type="gramStart"/>
      <w:r w:rsidRPr="00743CE5">
        <w:rPr>
          <w:rFonts w:ascii="Tahoma" w:eastAsia="Times New Roman" w:hAnsi="Tahoma" w:cs="Tahoma"/>
          <w:color w:val="000000"/>
          <w:sz w:val="18"/>
          <w:szCs w:val="18"/>
          <w:lang w:eastAsia="ru-RU" w:bidi="ru-RU"/>
        </w:rPr>
        <w:t>х</w:t>
      </w:r>
      <w:r w:rsidRPr="00743CE5">
        <w:rPr>
          <w:rFonts w:ascii="Tahoma" w:eastAsia="Times New Roman" w:hAnsi="Tahoma" w:cs="Tahoma"/>
          <w:color w:val="000000"/>
          <w:sz w:val="18"/>
          <w:szCs w:val="18"/>
          <w:lang w:eastAsia="ru-RU" w:bidi="ru-RU"/>
        </w:rPr>
        <w:noBreakHyphen/>
      </w:r>
      <w:proofErr w:type="gramEnd"/>
      <w:r w:rsidRPr="00743CE5">
        <w:rPr>
          <w:rFonts w:ascii="Tahoma" w:eastAsia="Times New Roman" w:hAnsi="Tahoma" w:cs="Tahoma"/>
          <w:color w:val="000000"/>
          <w:sz w:val="18"/>
          <w:szCs w:val="18"/>
          <w:lang w:eastAsia="ru-RU" w:bidi="ru-RU"/>
        </w:rPr>
        <w:t xml:space="preserve"> квартальных дивидендов по исключительному усмотрению директоров Компании в сумме не более 2,17 долларов США в год на акцию в первоочередном порядке по сравнению с другими видами акций, (3) предоставляют возможность получения выплат не более 18,11 долларов США на акцию в случае ликвидации и (4) предоставляют держателю право на конвертацию своих акций класса «A» в такое же количество акций класса «B» при условии оплаты стоимости обмена, рассчитанной Компанией. Акции класса «B» (1) имеют права голоса, (2) предоставляют возможность получения дивидендов, если как минимум минимальная сумма дивидендов распределена в пользу держателей акций класса «A» за тот же период, и (3) предоставляют право на получение дивидендов в случае ликвидации.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июне</w:t>
      </w:r>
      <w:proofErr w:type="gramEnd"/>
      <w:r w:rsidRPr="00743CE5">
        <w:rPr>
          <w:rFonts w:ascii="Tahoma" w:eastAsia="Times New Roman" w:hAnsi="Tahoma" w:cs="Tahoma"/>
          <w:color w:val="000000"/>
          <w:sz w:val="18"/>
          <w:szCs w:val="18"/>
          <w:lang w:eastAsia="ru-RU" w:bidi="ru-RU"/>
        </w:rPr>
        <w:t xml:space="preserve"> 2013 года некоторые члены высшего руководства Группы оформили подписку на 347 354 акции класса «В» Компании, из которых 199 120 акций были выпущены по состоянию 31 декабря 2013 года. Акции регистрируются на имя соответствующих акционеров по частям в течение периода с 28 июня 2013 года по 1 января 2015 года. Незарегистрированные части не могут быть зарегистрированы лишь в случае грубой небрежности соответствующего члена руководства Группы при исполнении им своих обязанностей. Подписка была отражена в составе капитала по справедливой стоимости подписанных акций на дату подписки.</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30 декабря 2013 года Компания выпустила в пользу Centimila Services Limited и Coniston Management Limited 11 503 068 акций класса «B» (6 306 651 акцию и 5 196 417 акций соответственно) за возмещение в размере 19,56 долларов США за акцию. Общая сумма возмещения составила 225 000 тысяч долларов США и была уплачена беспроцентными векселями, выпущенными компаниями Centimilla Services Limited и Coniston Management Limited, общей номинальной стоимостью 225 000 тысяч долларов США с оплатой по предъявлении, но не ранее 30 января 2014 года. Векселя обеспечены гарантией, выпущенной компанией O1 Group Limited, находящейся под контролем Основного владельца (Примечание 30). Информация о денежных платежах, полученных за векселя, приведена в Примечании 31.</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23. Акционерный капитал и эмиссионный доход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 </w:t>
      </w:r>
      <w:proofErr w:type="gramStart"/>
      <w:r w:rsidRPr="00743CE5">
        <w:rPr>
          <w:rFonts w:ascii="Tahoma" w:eastAsia="Times New Roman" w:hAnsi="Tahoma" w:cs="Tahoma"/>
          <w:color w:val="000000"/>
          <w:sz w:val="18"/>
          <w:szCs w:val="18"/>
          <w:lang w:eastAsia="ru-RU" w:bidi="ru-RU"/>
        </w:rPr>
        <w:t>марте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апреле 2013 года акционеры Компании утвердили выплату дивидендов в размере 5 631 тысяча долларов США держателям привилегированных акций. В </w:t>
      </w:r>
      <w:proofErr w:type="gramStart"/>
      <w:r w:rsidRPr="00743CE5">
        <w:rPr>
          <w:rFonts w:ascii="Tahoma" w:eastAsia="Times New Roman" w:hAnsi="Tahoma" w:cs="Tahoma"/>
          <w:color w:val="000000"/>
          <w:sz w:val="18"/>
          <w:szCs w:val="18"/>
          <w:lang w:eastAsia="ru-RU" w:bidi="ru-RU"/>
        </w:rPr>
        <w:t>мае</w:t>
      </w:r>
      <w:proofErr w:type="gramEnd"/>
      <w:r w:rsidRPr="00743CE5">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noBreakHyphen/>
        <w:t xml:space="preserve"> июне 2013 года акционеры Компании утвердили выплату дивидендов в размере 18 658 тысяч долларов США держателям обыкновенных акций. В </w:t>
      </w:r>
      <w:proofErr w:type="gramStart"/>
      <w:r w:rsidRPr="00743CE5">
        <w:rPr>
          <w:rFonts w:ascii="Tahoma" w:eastAsia="Times New Roman" w:hAnsi="Tahoma" w:cs="Tahoma"/>
          <w:color w:val="000000"/>
          <w:sz w:val="18"/>
          <w:szCs w:val="18"/>
          <w:lang w:eastAsia="ru-RU" w:bidi="ru-RU"/>
        </w:rPr>
        <w:t>сентябре</w:t>
      </w:r>
      <w:proofErr w:type="gramEnd"/>
      <w:r w:rsidRPr="00743CE5">
        <w:rPr>
          <w:rFonts w:ascii="Tahoma" w:eastAsia="Times New Roman" w:hAnsi="Tahoma" w:cs="Tahoma"/>
          <w:color w:val="000000"/>
          <w:sz w:val="18"/>
          <w:szCs w:val="18"/>
          <w:lang w:eastAsia="ru-RU" w:bidi="ru-RU"/>
        </w:rPr>
        <w:t xml:space="preserve"> 2013 года акционеры Компании утвердили выплату дивидендов в размере 26 207 тысяч долларов США держателям акций класса «A» и 2 064 тысячи долларов США держателям акций класса «В».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24. Заемные средства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Краткосрочные кредиты и займы</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Банковские кредиты</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42,060,736</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10,002,466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полученные от связанных сторон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118,603,223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43,863,160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tabs>
                <w:tab w:val="left" w:pos="719"/>
                <w:tab w:val="left" w:pos="1439"/>
                <w:tab w:val="left" w:pos="2159"/>
                <w:tab w:val="left" w:pos="2879"/>
                <w:tab w:val="left" w:pos="3599"/>
                <w:tab w:val="left" w:pos="4319"/>
                <w:tab w:val="left" w:pos="5039"/>
                <w:tab w:val="left" w:pos="5759"/>
              </w:tabs>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r w:rsidRPr="00743CE5">
              <w:rPr>
                <w:rFonts w:ascii="Tahoma" w:eastAsia="Times New Roman" w:hAnsi="Tahoma" w:cs="Tahoma"/>
                <w:b/>
                <w:bCs/>
                <w:color w:val="000000"/>
                <w:sz w:val="18"/>
                <w:szCs w:val="18"/>
                <w:lang w:eastAsia="ru-RU" w:bidi="ru-RU"/>
              </w:rPr>
              <w:tab/>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160,663,959</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53,865,626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Долгосрочные кредиты и займы</w:t>
            </w: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полученные от связанных сторон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132,325,413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132,325,413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155,749,532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Arial" w:eastAsia="Times New Roman" w:hAnsi="Arial" w:cs="Arial"/>
                <w:color w:val="000000"/>
                <w:sz w:val="16"/>
                <w:szCs w:val="16"/>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Итого </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292,989,372</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209,615,158</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Сроки погашения долгосрочных кредитов и займов: </w:t>
      </w: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От 2 до 5 лет</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132,325,413</w:t>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155,749,532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br/>
        <w:t>По состоянию на 31 декабря 2014 года и 31 декабря 2013 года Компанией были соблюдены финансовые ограничительные условия, предусмотренные кредитными договорами.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дебиторской задолженности приблизительно равна ее балансовой стоимости, как указано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25. Торговая и прочая кредиторская задолженность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Текущие счета акционеров </w:t>
            </w:r>
            <w:r w:rsidRPr="00743CE5">
              <w:rPr>
                <w:rFonts w:ascii="Tahoma" w:eastAsia="Times New Roman" w:hAnsi="Tahoma" w:cs="Tahoma"/>
                <w:color w:val="000000"/>
                <w:sz w:val="18"/>
                <w:szCs w:val="18"/>
                <w:lang w:eastAsia="ru-RU" w:bidi="ru-RU"/>
              </w:rPr>
              <w:noBreakHyphen/>
              <w:t xml:space="preserve"> кредитовые остатки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4,818,183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Прочая кредиторская задолженность и начисленные расходы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871,050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972,150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Прочие кредиторы</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454,727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422,972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собственными дочерними предприятиями и прочими связанными сторонами (Примечание 27)</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53,463,781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46,277,003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59,607,741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47,672,125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Справедливая стоимость торговой и прочей кредиторской задолженности со сроком погашения до 1 года приблизительно равна ее балансовой стоимости (см. выше).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26. Текущие налоговые обязательства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39" w:type="dxa"/>
        <w:tblLayout w:type="fixed"/>
        <w:tblCellMar>
          <w:left w:w="39" w:type="dxa"/>
          <w:right w:w="39"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Налог на прибыль</w:t>
            </w: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7,116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Специальный сбор на нужды обороны </w:t>
            </w:r>
          </w:p>
        </w:tc>
        <w:tc>
          <w:tcPr>
            <w:tcW w:w="1411" w:type="dxa"/>
            <w:tcBorders>
              <w:top w:val="nil"/>
              <w:left w:val="nil"/>
              <w:bottom w:val="nil"/>
              <w:right w:val="nil"/>
            </w:tcBorders>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2,466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379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9,582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 Операции со связанными сторонами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spacing w:after="240" w:line="240" w:lineRule="auto"/>
        <w:jc w:val="both"/>
        <w:rPr>
          <w:rFonts w:ascii="Times New Roman" w:eastAsia="Times New Roman" w:hAnsi="Times New Roman" w:cs="Times New Roman"/>
          <w:sz w:val="20"/>
          <w:szCs w:val="20"/>
          <w:lang w:eastAsia="ru-RU" w:bidi="ru-RU"/>
        </w:rPr>
      </w:pPr>
      <w:proofErr w:type="gramStart"/>
      <w:r w:rsidRPr="00743CE5">
        <w:rPr>
          <w:rFonts w:ascii="Tahoma" w:eastAsia="Times New Roman" w:hAnsi="Tahoma" w:cs="Times New Roman"/>
          <w:color w:val="000000"/>
          <w:sz w:val="18"/>
          <w:szCs w:val="20"/>
          <w:lang w:eastAsia="ru-RU" w:bidi="ru-RU"/>
        </w:rPr>
        <w:t>По состоянию на 31 декабря 2014 года основными непосредственными акционерами Компании являлись компания Nori Holding Limited (Кипр), которой принадлежало 100% акций класса A (31 декабря 2013 г.: 100% акций класса A принадлежали Nori Holding Limited), и компания Centimila Services Ltd (Кипр), которой принадлежало 56,629% акций класса B (31 декабря 2013 г.: 54,478% и 44,888% акций класса B принадлежало Centimilla Services</w:t>
      </w:r>
      <w:proofErr w:type="gramEnd"/>
      <w:r w:rsidRPr="00743CE5">
        <w:rPr>
          <w:rFonts w:ascii="Tahoma" w:eastAsia="Times New Roman" w:hAnsi="Tahoma" w:cs="Times New Roman"/>
          <w:color w:val="000000"/>
          <w:sz w:val="18"/>
          <w:szCs w:val="20"/>
          <w:lang w:eastAsia="ru-RU" w:bidi="ru-RU"/>
        </w:rPr>
        <w:t xml:space="preserve"> </w:t>
      </w:r>
      <w:proofErr w:type="gramStart"/>
      <w:r w:rsidRPr="00743CE5">
        <w:rPr>
          <w:rFonts w:ascii="Tahoma" w:eastAsia="Times New Roman" w:hAnsi="Tahoma" w:cs="Times New Roman"/>
          <w:color w:val="000000"/>
          <w:sz w:val="18"/>
          <w:szCs w:val="20"/>
          <w:lang w:eastAsia="ru-RU" w:bidi="ru-RU"/>
        </w:rPr>
        <w:t>Ltd и Coniston Management Limited (Британские Виргинские острова) соответственно).</w:t>
      </w:r>
      <w:proofErr w:type="gramEnd"/>
      <w:r w:rsidRPr="00743CE5">
        <w:rPr>
          <w:rFonts w:ascii="Tahoma" w:eastAsia="Times New Roman" w:hAnsi="Tahoma" w:cs="Times New Roman"/>
          <w:color w:val="000000"/>
          <w:sz w:val="18"/>
          <w:szCs w:val="20"/>
          <w:lang w:eastAsia="ru-RU" w:bidi="ru-RU"/>
        </w:rPr>
        <w:t xml:space="preserve"> По состоянию на 31 декабря 2014 года прочими держателями акций класса B являлись ICT Holding Ltd (Кипр), Goldman Sachs International (Великобритания) и некоторые члены ключевого управленческого персонала. Основным владельцем Группы являлся г-н Борис Минц, гражданин Российской Федерации (далее – «Основной владелец»).</w:t>
      </w:r>
    </w:p>
    <w:p w:rsidR="00743CE5" w:rsidRPr="00743CE5" w:rsidRDefault="00743CE5" w:rsidP="00743CE5">
      <w:pPr>
        <w:keepNext/>
        <w:widowControl w:val="0"/>
        <w:autoSpaceDE w:val="0"/>
        <w:autoSpaceDN w:val="0"/>
        <w:adjustRightInd w:val="0"/>
        <w:spacing w:after="24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На 31 декабря 2013 года материнской компанией Компании являлась Centimila Services Limited, которой принадлежало 54,408% (2012 г.: 54,614%) обыкновенных акций Компании. На 31 декабря 2013 года Coniston Management Limited (Британские Виргинские острова) владела 44,829% (2012 г.: 45%) обыкновенных акций Компании. Основным владельцем Группы являлся г-н Борис Минц, гражданин Российской Федерации (далее - «Основной владелец»).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Для целей составления данной финансовой отчетности стороны считаются связанными, если одна из них имеет возможность контролировать другую, находится под общим контролем или может оказывать существенное влияние при принятии другой стороной финансовых и операционных решений, как изложено в МСФО (IAS) 24 «Раскрытие информации о связанных сторонах». При рассмотрении взаимоотношений с каждой из возможных связанных сторон принимается во внимание  </w:t>
      </w: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экономическое содержание таких взаимоотношений, а не только их юридическая форма.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 2014 и 2013 гг. в ходе обычной деятельности были осуществлены операции со связанными сторонами. Некоторые из этих операций, особенно в тех случаях, когда отсутствует активный рынок, были совершены на условиях, согласованных между сторонами.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 связанными сторонами осуществлялись следующие операции: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27.1 Вознаграждение ключевому руководящему персоналу (Примечание 8)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ind w:right="1814"/>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вознаграждении директорам, являющимся ключевым руководящим персоналом, представлена ниже: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Вознаграждение директоров за исполнительную деятельность</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3,782,203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695,018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Выплата, основанная на акциях </w:t>
            </w:r>
            <w:r w:rsidRPr="00743CE5">
              <w:rPr>
                <w:rFonts w:ascii="Tahoma" w:eastAsia="Times New Roman" w:hAnsi="Tahoma" w:cs="Tahoma"/>
                <w:color w:val="000000"/>
                <w:sz w:val="18"/>
                <w:szCs w:val="18"/>
                <w:lang w:eastAsia="ru-RU" w:bidi="ru-RU"/>
              </w:rPr>
              <w:noBreakHyphen/>
              <w:t xml:space="preserve"> план выплат долевыми инструментами </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u w:val="single"/>
                <w:lang w:eastAsia="ru-RU" w:bidi="ru-RU"/>
              </w:rPr>
              <w:t xml:space="preserve">    4,481,000</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5,329,321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8,263,203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6,024,339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iCs/>
          <w:color w:val="000000"/>
          <w:sz w:val="18"/>
          <w:szCs w:val="18"/>
          <w:lang w:eastAsia="ru-RU" w:bidi="ru-RU"/>
        </w:rPr>
        <w:t>Подробная информация о плане выплат, основанных на акциях, представлена в Примечании 23.</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 Операции со связанными сторонами (продолжение)</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27.2 Процентный доход (Примечание 5) </w:t>
      </w:r>
    </w:p>
    <w:tbl>
      <w:tblPr>
        <w:tblW w:w="0" w:type="auto"/>
        <w:tblInd w:w="56" w:type="dxa"/>
        <w:tblLayout w:type="fixed"/>
        <w:tblCellMar>
          <w:left w:w="0" w:type="dxa"/>
          <w:right w:w="0" w:type="dxa"/>
        </w:tblCellMar>
        <w:tblLook w:val="0000" w:firstRow="0" w:lastRow="0" w:firstColumn="0" w:lastColumn="0" w:noHBand="0" w:noVBand="0"/>
      </w:tblPr>
      <w:tblGrid>
        <w:gridCol w:w="6621"/>
        <w:gridCol w:w="1412"/>
        <w:gridCol w:w="1281"/>
      </w:tblGrid>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Dawson Int'L Inc.</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1,350,270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1,350,270</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Xeroma Management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5,726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682,483</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Paremos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4,376,323</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1,631,270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2,057,794</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Ratado Holding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942,481</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ООО Фирма «Морава» </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1,131,887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967,418</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Belegar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411,432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245,043</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Upstalen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732</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Discovery Russian Realty Paveletskaya Project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1,953,085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679,989</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Mervita Holdings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19,252</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Advisory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2,539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Tzotis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17,751</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Pianconero Investments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63,399</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Gunilla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108,340</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«О</w:t>
            </w:r>
            <w:proofErr w:type="gramStart"/>
            <w:r w:rsidRPr="00743CE5">
              <w:rPr>
                <w:rFonts w:ascii="Tahoma" w:eastAsia="Times New Roman" w:hAnsi="Tahoma" w:cs="Tahoma"/>
                <w:color w:val="000000"/>
                <w:sz w:val="18"/>
                <w:szCs w:val="18"/>
                <w:lang w:eastAsia="ru-RU" w:bidi="ru-RU"/>
              </w:rPr>
              <w:t>1</w:t>
            </w:r>
            <w:proofErr w:type="gramEnd"/>
            <w:r w:rsidRPr="00743CE5">
              <w:rPr>
                <w:rFonts w:ascii="Tahoma" w:eastAsia="Times New Roman" w:hAnsi="Tahoma" w:cs="Tahoma"/>
                <w:color w:val="000000"/>
                <w:sz w:val="18"/>
                <w:szCs w:val="18"/>
                <w:lang w:eastAsia="ru-RU" w:bidi="ru-RU"/>
              </w:rPr>
              <w:t xml:space="preserve"> Пропертиз Менеджмент»</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15,585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«ВКС Инвест»</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1,157,397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Mistalda Holdings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12,101</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Акционер:</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Предприятие под общим контролем:</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292,134</w:t>
            </w:r>
            <w:r w:rsidRPr="00743CE5">
              <w:rPr>
                <w:rFonts w:ascii="Tahoma" w:eastAsia="Times New Roman" w:hAnsi="Tahoma" w:cs="Tahoma"/>
                <w:color w:val="000000"/>
                <w:sz w:val="18"/>
                <w:szCs w:val="18"/>
                <w:lang w:eastAsia="ru-RU" w:bidi="ru-RU"/>
              </w:rPr>
              <w:tab/>
            </w:r>
          </w:p>
        </w:tc>
      </w:tr>
      <w:tr w:rsidR="00743CE5" w:rsidRPr="00743CE5" w:rsidTr="00CB150F">
        <w:tc>
          <w:tcPr>
            <w:tcW w:w="6621"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7,671,292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11,803,409</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27.3 Процентные расходы </w:t>
      </w:r>
      <w:r w:rsidRPr="00743CE5">
        <w:rPr>
          <w:rFonts w:ascii="Tahoma" w:eastAsia="Times New Roman" w:hAnsi="Tahoma" w:cs="Tahoma"/>
          <w:b/>
          <w:bCs/>
          <w:color w:val="000000"/>
          <w:sz w:val="18"/>
          <w:szCs w:val="18"/>
          <w:lang w:eastAsia="ru-RU" w:bidi="ru-RU"/>
        </w:rPr>
        <w:tab/>
      </w:r>
    </w:p>
    <w:tbl>
      <w:tblPr>
        <w:tblW w:w="0" w:type="auto"/>
        <w:tblInd w:w="56" w:type="dxa"/>
        <w:tblLayout w:type="fixed"/>
        <w:tblCellMar>
          <w:left w:w="0" w:type="dxa"/>
          <w:right w:w="0" w:type="dxa"/>
        </w:tblCellMar>
        <w:tblLook w:val="0000" w:firstRow="0" w:lastRow="0" w:firstColumn="0" w:lastColumn="0" w:noHBand="0" w:noVBand="0"/>
      </w:tblPr>
      <w:tblGrid>
        <w:gridCol w:w="6638"/>
        <w:gridCol w:w="1412"/>
        <w:gridCol w:w="1281"/>
      </w:tblGrid>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 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Hines DPIII Development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30,075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97,348</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Hines DPIII Realty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43,496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66,962</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Ratado Holding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408,109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Krugozor Business Center (Cyprus)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2,789,856</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 Fortaco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2,850,810</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Business Center Stanislavsky (Cyprus)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2,266,412</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1,595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1,218,089</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Levisoma Trading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660,707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566,788</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909,987</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Valnaz Investments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428,657</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«Гашека Риэлти»</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772,992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64,599</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Fundin Investments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8,090,889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2,876,712</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White Estate Investments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1,758,008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17,505</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Quotex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1,167,224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262,030</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Limited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81,751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Centimila Services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97,753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Group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568,193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Nori Holding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86,619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Silver City Limited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312,037</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color w:val="000000"/>
                <w:sz w:val="18"/>
                <w:szCs w:val="18"/>
                <w:lang w:eastAsia="ru-RU" w:bidi="ru-RU"/>
              </w:rPr>
              <w:t>Предприятие под общим контролем:</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Services Ltd</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11,776</w:t>
            </w:r>
            <w:r w:rsidRPr="00743CE5">
              <w:rPr>
                <w:rFonts w:ascii="Tahoma" w:eastAsia="Times New Roman" w:hAnsi="Tahoma" w:cs="Tahoma"/>
                <w:color w:val="000000"/>
                <w:sz w:val="18"/>
                <w:szCs w:val="18"/>
                <w:lang w:eastAsia="ru-RU" w:bidi="ru-RU"/>
              </w:rPr>
              <w:tab/>
            </w:r>
          </w:p>
        </w:tc>
      </w:tr>
      <w:tr w:rsidR="00743CE5" w:rsidRPr="00743CE5" w:rsidTr="00CB150F">
        <w:tc>
          <w:tcPr>
            <w:tcW w:w="6638"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14,079,448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14,427,531</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 Операции со связанными сторонами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27.4 Дебиторская задолженность собственных дочерних предприятий и прочих связанных сторон (Примечание 21)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Название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Celera Corporation</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15,552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11,668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Krugozor Business Center (Cyprus)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12,106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 Fortaco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12,312</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Business Center Stanislavsky (Cyprus)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16,807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311,353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29,130,365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15,208,517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Capital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15,830,069</w:t>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6,537,017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Maiga Investments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w:t>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1,360,700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Vivaldi Holdings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732,191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260,810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Levisoma Trading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43,490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375,377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«О</w:t>
            </w:r>
            <w:proofErr w:type="gramStart"/>
            <w:r w:rsidRPr="00743CE5">
              <w:rPr>
                <w:rFonts w:ascii="Tahoma" w:eastAsia="Times New Roman" w:hAnsi="Tahoma" w:cs="Tahoma"/>
                <w:color w:val="000000"/>
                <w:sz w:val="18"/>
                <w:szCs w:val="18"/>
                <w:lang w:eastAsia="ru-RU" w:bidi="ru-RU"/>
              </w:rPr>
              <w:t>1</w:t>
            </w:r>
            <w:proofErr w:type="gramEnd"/>
            <w:r w:rsidRPr="00743CE5">
              <w:rPr>
                <w:rFonts w:ascii="Tahoma" w:eastAsia="Times New Roman" w:hAnsi="Tahoma" w:cs="Tahoma"/>
                <w:color w:val="000000"/>
                <w:sz w:val="18"/>
                <w:szCs w:val="18"/>
                <w:lang w:eastAsia="ru-RU" w:bidi="ru-RU"/>
              </w:rPr>
              <w:t xml:space="preserve"> Пропертиз Менеджмент» </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1,704,172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562,783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ООО «Серебряный город»</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586,785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571,237</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ОАО «Большевик»</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374,629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370,610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Gasheka Realty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283,173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259,851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Meteolook Investments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85,221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65,000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Quotex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116,125,042</w:t>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Minesign Ltd</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249,024,395</w:t>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прочих предприятий Группы</w:t>
            </w:r>
          </w:p>
        </w:tc>
        <w:tc>
          <w:tcPr>
            <w:tcW w:w="1411" w:type="dxa"/>
            <w:tcBorders>
              <w:top w:val="nil"/>
              <w:left w:val="nil"/>
              <w:bottom w:val="nil"/>
              <w:right w:val="nil"/>
            </w:tcBorders>
            <w:tcMar>
              <w:left w:w="39" w:type="dxa"/>
              <w:right w:w="39" w:type="dxa"/>
            </w:tcMar>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14,503,952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3,037,420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428,439,036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28,973,568</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Дебиторская задолженность дочерних предприятий и прочих связанных сторон является беспроцентной и подлежит погашению по требованию.</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2"/>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27.5 Займы связанным сторонам (Примечание 20) </w:t>
      </w:r>
    </w:p>
    <w:tbl>
      <w:tblPr>
        <w:tblW w:w="0" w:type="auto"/>
        <w:tblInd w:w="56" w:type="dxa"/>
        <w:tblLayout w:type="fixed"/>
        <w:tblCellMar>
          <w:left w:w="0" w:type="dxa"/>
          <w:right w:w="0" w:type="dxa"/>
        </w:tblCellMar>
        <w:tblLook w:val="0000" w:firstRow="0" w:lastRow="0" w:firstColumn="0" w:lastColumn="0" w:noHBand="0" w:noVBand="0"/>
      </w:tblPr>
      <w:tblGrid>
        <w:gridCol w:w="3673"/>
        <w:gridCol w:w="2982"/>
        <w:gridCol w:w="1412"/>
        <w:gridCol w:w="1281"/>
      </w:tblGrid>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уступки с Belegar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6,125,000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5,825,000</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656,475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245,043</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Dawson Int'l Inc.</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15,003,000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15,003,000</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5,478,764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4,128,494</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новации с ЗАО «Стройпромпласт»</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7,309,275</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Xeroma Management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3,317,885</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2,001</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Nicolore Holdings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3,639,260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ООО Фирма «Морава»</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3,671,033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12,297,014</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24,724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975,631</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Eagleman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46,520,000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11,461,000</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1,771,511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140,241</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Discovery Russian Realty Paveletskaya Project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32,732,923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23,525,000</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2,633,074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679,989</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Pianconero Investments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79,159</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Avion Corporate Business Center (Cyprus)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345,357</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77,585</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Grand Invest</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181,082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Mistalda Holdings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179,771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12,101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Advisory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372,252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2,492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VKS Investments</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125,000,000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1,157,397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ЗАО «О</w:t>
            </w:r>
            <w:proofErr w:type="gramStart"/>
            <w:r w:rsidRPr="00743CE5">
              <w:rPr>
                <w:rFonts w:ascii="Tahoma" w:eastAsia="Times New Roman" w:hAnsi="Tahoma" w:cs="Tahoma"/>
                <w:color w:val="000000"/>
                <w:sz w:val="18"/>
                <w:szCs w:val="18"/>
                <w:lang w:eastAsia="ru-RU" w:bidi="ru-RU"/>
              </w:rPr>
              <w:t>1</w:t>
            </w:r>
            <w:proofErr w:type="gramEnd"/>
            <w:r w:rsidRPr="00743CE5">
              <w:rPr>
                <w:rFonts w:ascii="Tahoma" w:eastAsia="Times New Roman" w:hAnsi="Tahoma" w:cs="Tahoma"/>
                <w:color w:val="000000"/>
                <w:sz w:val="18"/>
                <w:szCs w:val="18"/>
                <w:lang w:eastAsia="ru-RU" w:bidi="ru-RU"/>
              </w:rPr>
              <w:t xml:space="preserve"> Пропертиз Менеджмент»</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799,881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13,806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3673"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2"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246,319,903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85,066,317</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color w:val="000000"/>
          <w:sz w:val="18"/>
          <w:szCs w:val="18"/>
          <w:lang w:eastAsia="ru-RU" w:bidi="ru-RU"/>
        </w:rPr>
        <w:t>27. Операции со связанными сторонами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Belegar Ltd был предоставлен по ставке 7% и подлежит погашению 30 июня 2021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Задолженность по договору новации с Dawson International Inc. была передана по договору уступки Thaletta S.A. 31 декабря 2010 года. В первоначальном </w:t>
      </w:r>
      <w:proofErr w:type="gramStart"/>
      <w:r w:rsidRPr="00743CE5">
        <w:rPr>
          <w:rFonts w:ascii="Tahoma" w:eastAsia="Times New Roman" w:hAnsi="Tahoma" w:cs="Tahoma"/>
          <w:color w:val="000000"/>
          <w:sz w:val="18"/>
          <w:szCs w:val="18"/>
          <w:lang w:eastAsia="ru-RU" w:bidi="ru-RU"/>
        </w:rPr>
        <w:t>договоре</w:t>
      </w:r>
      <w:proofErr w:type="gramEnd"/>
      <w:r w:rsidRPr="00743CE5">
        <w:rPr>
          <w:rFonts w:ascii="Tahoma" w:eastAsia="Times New Roman" w:hAnsi="Tahoma" w:cs="Tahoma"/>
          <w:color w:val="000000"/>
          <w:sz w:val="18"/>
          <w:szCs w:val="18"/>
          <w:lang w:eastAsia="ru-RU" w:bidi="ru-RU"/>
        </w:rPr>
        <w:t xml:space="preserve"> займа от 10 декабря 2010 года была предусмотрена процентная ставка 9% и дата погашения 31 декабря 2013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Задолженность по договору новации с ЗАО «Стройпромпласт» была погашена в течение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ООО Фирма «Морава» был предоставлен по ставке 13,10% и подлежит погашению 31 декабря 2020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Eagleman Ltd был предоставлен по ставке 5,65% и подлежит погашению 31 декабря 2019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Discovery Russian Realty Paveletskaya Project Ltd был предоставлен по ставке 7% и подлежит погашению 30 июня 2021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Avion Corporate Business Center (Cyprus) Ltd был предоставлен по ставке 10% и подлежит погашению 16 декабря 2016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Mistalda Holdings Ltd был предоставлен по ставке 7% и подлежит погашению 01 сентября 2018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O1 Advisory Ltd был предоставлен по ставке 7% и подлежит погашению 31 декабря 2018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VKS Investments был предоставлен по ставке 3,5% и подлежит погашению 30 июня 2019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ЗАО «О</w:t>
      </w:r>
      <w:proofErr w:type="gramStart"/>
      <w:r w:rsidRPr="00743CE5">
        <w:rPr>
          <w:rFonts w:ascii="Tahoma" w:eastAsia="Times New Roman" w:hAnsi="Tahoma" w:cs="Tahoma"/>
          <w:color w:val="000000"/>
          <w:sz w:val="18"/>
          <w:szCs w:val="18"/>
          <w:lang w:eastAsia="ru-RU" w:bidi="ru-RU"/>
        </w:rPr>
        <w:t>1</w:t>
      </w:r>
      <w:proofErr w:type="gramEnd"/>
      <w:r w:rsidRPr="00743CE5">
        <w:rPr>
          <w:rFonts w:ascii="Tahoma" w:eastAsia="Times New Roman" w:hAnsi="Tahoma" w:cs="Tahoma"/>
          <w:color w:val="000000"/>
          <w:sz w:val="18"/>
          <w:szCs w:val="18"/>
          <w:lang w:eastAsia="ru-RU" w:bidi="ru-RU"/>
        </w:rPr>
        <w:t xml:space="preserve"> Пропертиз Менеджмент» был предоставлен по ставке 10% и подлежит погашению 30 октября 2018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Займы Xeroma Management Ltd, Pianconero Investments Ltd и Avion Corporate Business Center (Cyprus) Ltd и задолженность по договору новации с Dawson International Inc. были погашены в течение года. </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27.6 Кредиторская задолженность перед собственными дочерними предприятиями и прочими связанными сторонами (Примечание 25)</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u w:val="single"/>
                <w:lang w:eastAsia="ru-RU" w:bidi="ru-RU"/>
              </w:rPr>
              <w:t>Название</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Ratado Holding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16,799,176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15,803,201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Eagleman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14,004,365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11,967,381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Silver City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4,945,472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8,483,019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Xeroma Management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1,350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Gunilla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1,151,000</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center"/>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Sabaton Holdings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2,719</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White Estate Investments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1,326,036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1,326,036</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Kolston Group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38,151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50,000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Invery Management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26,239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45,000</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Discovery Russian Realty Paveletskaya Project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10,437,295</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5,982,661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val="en-US" w:eastAsia="ru-RU" w:bidi="ru-RU"/>
              </w:rPr>
              <w:t>Avion Corporate Business Center (Cyprus)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val="en-US" w:eastAsia="ru-RU" w:bidi="ru-RU"/>
              </w:rPr>
              <w:tab/>
            </w:r>
            <w:r w:rsidRPr="00743CE5">
              <w:rPr>
                <w:rFonts w:ascii="Tahoma" w:eastAsia="Times New Roman" w:hAnsi="Tahoma" w:cs="Tahoma"/>
                <w:b/>
                <w:color w:val="000000"/>
                <w:sz w:val="18"/>
                <w:szCs w:val="18"/>
                <w:lang w:eastAsia="ru-RU" w:bidi="ru-RU"/>
              </w:rPr>
              <w:t>2,552,468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2,476,193</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Sharezone Vapital Limited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Trust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26,501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26,501</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Meteolook Investments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65,928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65,928</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Vielle Limited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1,061,384</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Paremos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1,350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Advisory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1,263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Simeona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1,318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Quintiliano Ltd</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1,248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прочими связанными сторонами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1,021,887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47,014</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53,463,781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46,277,003</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Кредиторская задолженность перед дочерними предприятиями и прочими связанными сторонами является беспроцентной и подлежит погашению по требованию.</w:t>
      </w:r>
    </w:p>
    <w:p w:rsidR="00743CE5" w:rsidRPr="00743CE5" w:rsidRDefault="00743CE5" w:rsidP="00743CE5">
      <w:pPr>
        <w:widowControl w:val="0"/>
        <w:tabs>
          <w:tab w:val="left" w:pos="5507"/>
        </w:tabs>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 Операции со связанными сторонами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27.7. Займы, полученные от связанных сторон (Примечание 24) </w:t>
      </w:r>
    </w:p>
    <w:tbl>
      <w:tblPr>
        <w:tblW w:w="0" w:type="auto"/>
        <w:tblInd w:w="56" w:type="dxa"/>
        <w:tblLayout w:type="fixed"/>
        <w:tblCellMar>
          <w:left w:w="0" w:type="dxa"/>
          <w:right w:w="0" w:type="dxa"/>
        </w:tblCellMar>
        <w:tblLook w:val="0000" w:firstRow="0" w:lastRow="0" w:firstColumn="0" w:lastColumn="0" w:noHBand="0" w:noVBand="0"/>
      </w:tblPr>
      <w:tblGrid>
        <w:gridCol w:w="3685"/>
        <w:gridCol w:w="2982"/>
        <w:gridCol w:w="1411"/>
        <w:gridCol w:w="1281"/>
      </w:tblGrid>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jc w:val="center"/>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r w:rsidRPr="00743CE5">
              <w:rPr>
                <w:rFonts w:ascii="Tahoma" w:eastAsia="Times New Roman" w:hAnsi="Tahoma" w:cs="Tahoma"/>
                <w:b/>
                <w:i/>
                <w:color w:val="000000"/>
                <w:sz w:val="18"/>
                <w:szCs w:val="18"/>
                <w:lang w:eastAsia="ru-RU" w:bidi="ru-RU"/>
              </w:rPr>
              <w:t>Предприятия Группы:</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Hines DPIII Development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1,200,000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97,348</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Hines DPIII Realty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830,000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66,962</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O1 Trust Services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3,820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3,820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Avion Corporate Business Center (Cyprus)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655,487</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Krugozor Business Center (Cyprus)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2,508,889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34,746</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Le Fortaco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5,444,991</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 xml:space="preserve">      207,343</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Business Center Stanislavsky (Cyprus)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3,599,222</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165,076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Levisoma Trading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11,238,003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11,238,003</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1,120,848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460,141</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Eagleman Limited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100,000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81,751</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ООО «Гашека Риэлти»</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21,139,110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2,857,452</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2,433,880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44,719</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Fundin Investments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114,500,500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120,000,000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4,098,903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2,876,712</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White Estate Investments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36,975,000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18,255,000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1,775,513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17,505</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Quotex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41,403,000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90"/>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262,030</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Договор займа с Ratado Holding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24,725,000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408,108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val="en-US" w:eastAsia="ru-RU" w:bidi="ru-RU"/>
              </w:rPr>
            </w:pPr>
            <w:r w:rsidRPr="00743CE5">
              <w:rPr>
                <w:rFonts w:ascii="Tahoma" w:eastAsia="Times New Roman" w:hAnsi="Tahoma" w:cs="Tahoma"/>
                <w:color w:val="000000"/>
                <w:sz w:val="18"/>
                <w:szCs w:val="18"/>
                <w:lang w:eastAsia="ru-RU" w:bidi="ru-RU"/>
              </w:rPr>
              <w:t>Договор</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займа</w:t>
            </w:r>
            <w:r w:rsidRPr="00743CE5">
              <w:rPr>
                <w:rFonts w:ascii="Tahoma" w:eastAsia="Times New Roman" w:hAnsi="Tahoma" w:cs="Tahoma"/>
                <w:color w:val="000000"/>
                <w:sz w:val="18"/>
                <w:szCs w:val="18"/>
                <w:lang w:val="en-US" w:eastAsia="ru-RU" w:bidi="ru-RU"/>
              </w:rPr>
              <w:t xml:space="preserve"> </w:t>
            </w:r>
            <w:r w:rsidRPr="00743CE5">
              <w:rPr>
                <w:rFonts w:ascii="Tahoma" w:eastAsia="Times New Roman" w:hAnsi="Tahoma" w:cs="Tahoma"/>
                <w:color w:val="000000"/>
                <w:sz w:val="18"/>
                <w:szCs w:val="18"/>
                <w:lang w:eastAsia="ru-RU" w:bidi="ru-RU"/>
              </w:rPr>
              <w:t>с</w:t>
            </w:r>
            <w:r w:rsidRPr="00743CE5">
              <w:rPr>
                <w:rFonts w:ascii="Tahoma" w:eastAsia="Times New Roman" w:hAnsi="Tahoma" w:cs="Tahoma"/>
                <w:color w:val="000000"/>
                <w:sz w:val="18"/>
                <w:szCs w:val="18"/>
                <w:lang w:val="en-US" w:eastAsia="ru-RU" w:bidi="ru-RU"/>
              </w:rPr>
              <w:t xml:space="preserve"> Centimila Services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1,057,420</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97,753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Nori Holding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86,619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O1 Group Ltd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13,461,822</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22,498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Silver City Limited</w:t>
            </w: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Основная сумма</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4,274,523</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t>-</w:t>
            </w:r>
            <w:r w:rsidRPr="00743CE5">
              <w:rPr>
                <w:rFonts w:ascii="Tahoma" w:eastAsia="Times New Roman" w:hAnsi="Tahoma" w:cs="Tahoma"/>
                <w:color w:val="000000"/>
                <w:sz w:val="18"/>
                <w:szCs w:val="18"/>
                <w:lang w:eastAsia="ru-RU" w:bidi="ru-RU"/>
              </w:rPr>
              <w:tab/>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Проценты</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u w:val="single"/>
                <w:lang w:eastAsia="ru-RU" w:bidi="ru-RU"/>
              </w:rPr>
            </w:pPr>
            <w:r w:rsidRPr="00743CE5">
              <w:rPr>
                <w:rFonts w:ascii="Tahoma" w:eastAsia="Times New Roman" w:hAnsi="Tahoma" w:cs="Tahoma"/>
                <w:b/>
                <w:color w:val="000000"/>
                <w:sz w:val="18"/>
                <w:szCs w:val="18"/>
                <w:u w:val="single"/>
                <w:lang w:eastAsia="ru-RU" w:bidi="ru-RU"/>
              </w:rPr>
              <w:t xml:space="preserve">      711,811</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center"/>
              <w:rPr>
                <w:rFonts w:ascii="Tahoma" w:eastAsia="Times New Roman" w:hAnsi="Tahoma" w:cs="Tahoma"/>
                <w:color w:val="000000"/>
                <w:sz w:val="18"/>
                <w:szCs w:val="18"/>
                <w:u w:val="single"/>
                <w:lang w:eastAsia="ru-RU" w:bidi="ru-RU"/>
              </w:rPr>
            </w:pPr>
            <w:r w:rsidRPr="00743CE5">
              <w:rPr>
                <w:rFonts w:ascii="Tahoma" w:eastAsia="Times New Roman" w:hAnsi="Tahoma" w:cs="Tahoma"/>
                <w:color w:val="000000"/>
                <w:sz w:val="18"/>
                <w:szCs w:val="18"/>
                <w:u w:val="single"/>
                <w:lang w:eastAsia="ru-RU" w:bidi="ru-RU"/>
              </w:rPr>
              <w:t xml:space="preserve">           -</w:t>
            </w:r>
          </w:p>
        </w:tc>
      </w:tr>
      <w:tr w:rsidR="00743CE5" w:rsidRPr="00743CE5" w:rsidTr="00CB150F">
        <w:tc>
          <w:tcPr>
            <w:tcW w:w="3685"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2982"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250,928,636</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199,612,692</w:t>
            </w:r>
            <w:r w:rsidRPr="00743CE5">
              <w:rPr>
                <w:rFonts w:ascii="Tahoma" w:eastAsia="Times New Roman" w:hAnsi="Tahoma" w:cs="Tahoma"/>
                <w:color w:val="000000"/>
                <w:sz w:val="18"/>
                <w:szCs w:val="18"/>
                <w:lang w:eastAsia="ru-RU" w:bidi="ru-RU"/>
              </w:rPr>
              <w:tab/>
            </w:r>
          </w:p>
        </w:tc>
      </w:tr>
    </w:tbl>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O1 Trust Services Ltd был предоставлен по ставке 12% и подлежит погашению 15 января 2012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Avion Corporate Business Center (Cyprus) Ltd был предоставлен по ставке 10% и подлежит погашению 16 декабря 2016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Займы от Krugozor Business Center (Cyprus) Ltd, Le Fortaco Ltd, Business Center Stanislavsky (Cyprus) Ltd и Avion Corporate Business Center (Cyprus) Ltd были предоставлены по ставке 10% и подлежат погашению 16 декабря 2016 года.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Levisoma Trading Ltd был предоставлен по ставке 7% и подлежит погашению 31 декабря 2019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Eaglemans Ltd был предоставлен по ставке 11,35% и подлежит погашению 30 апреля 2018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ООО «Гашека Риэлти» был предоставлен по ставке 7,5% и подлежит погашению 31 декабря 2016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27. Операции со связанными сторонами (продолжение)</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Fundin Investments Ltd был предоставлен по ставке 7% и подлежит погашению 31 декабря 2015 года.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White Estate Investments Ltd был предоставлен по ставке 7% и подлежит погашению 31 декабря 2016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Ratado Holding Ltd был предоставлен по ставке 8,15% и подлежит погашению 30 июня 2019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Centimila Services Ltd был предоставлен по ставке 2,5% и подлежит погашению 31 мая 2018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Nori Holding Ltd был предоставлен по ставке 12% и подлежит погашению 31 декабря 2018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Silver City Ltd был предоставлен по ставке 7% и подлежит погашению 31 января 2015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Заем от O1 Group Ltd был предоставлен по ставке 12,2% и подлежит погашению 31 декабря 2018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Займы от Quotex Ltd, Hines DPIII Development Ltd и Hines DPIII Realty Ltd были погашены в течение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27.8 Текущие счета акционеров </w:t>
      </w:r>
      <w:r w:rsidRPr="00743CE5">
        <w:rPr>
          <w:rFonts w:ascii="Tahoma" w:eastAsia="Times New Roman" w:hAnsi="Tahoma" w:cs="Tahoma"/>
          <w:b/>
          <w:bCs/>
          <w:color w:val="000000"/>
          <w:sz w:val="18"/>
          <w:szCs w:val="18"/>
          <w:lang w:eastAsia="ru-RU" w:bidi="ru-RU"/>
        </w:rPr>
        <w:noBreakHyphen/>
        <w:t xml:space="preserve"> дебетовые остатки (Примечание 21)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Векселя</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24,805,349</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225,000,000</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счета акционеров – дебетовые остатки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1,349</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3,565</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24,806,698</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174"/>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225,003,565</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27.9 Текущие счета акционеров – кредитовые остатки (Примечание 25) </w:t>
      </w:r>
    </w:p>
    <w:tbl>
      <w:tblPr>
        <w:tblW w:w="0" w:type="auto"/>
        <w:tblInd w:w="56" w:type="dxa"/>
        <w:tblLayout w:type="fixed"/>
        <w:tblCellMar>
          <w:left w:w="0" w:type="dxa"/>
          <w:right w:w="0" w:type="dxa"/>
        </w:tblCellMar>
        <w:tblLook w:val="0000" w:firstRow="0" w:lastRow="0" w:firstColumn="0" w:lastColumn="0" w:noHBand="0" w:noVBand="0"/>
      </w:tblPr>
      <w:tblGrid>
        <w:gridCol w:w="6667"/>
        <w:gridCol w:w="1411"/>
        <w:gridCol w:w="1281"/>
      </w:tblGrid>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2013 г.</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долл. США</w:t>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Суммы задолженности перед акционерами</w:t>
            </w: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single"/>
                <w:lang w:eastAsia="ru-RU" w:bidi="ru-RU"/>
              </w:rPr>
              <w:t>4,818,183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single"/>
                <w:lang w:eastAsia="ru-RU" w:bidi="ru-RU"/>
              </w:rPr>
              <w:t>-</w:t>
            </w:r>
            <w:r w:rsidRPr="00743CE5">
              <w:rPr>
                <w:rFonts w:ascii="Tahoma" w:eastAsia="Times New Roman" w:hAnsi="Tahoma" w:cs="Tahoma"/>
                <w:color w:val="000000"/>
                <w:sz w:val="18"/>
                <w:szCs w:val="18"/>
                <w:lang w:eastAsia="ru-RU" w:bidi="ru-RU"/>
              </w:rPr>
              <w:tab/>
            </w:r>
          </w:p>
        </w:tc>
      </w:tr>
      <w:tr w:rsidR="00743CE5" w:rsidRPr="00743CE5" w:rsidTr="00CB150F">
        <w:tc>
          <w:tcPr>
            <w:tcW w:w="6667" w:type="dxa"/>
            <w:tcBorders>
              <w:top w:val="nil"/>
              <w:left w:val="nil"/>
              <w:bottom w:val="nil"/>
              <w:right w:val="nil"/>
            </w:tcBorders>
            <w:tcMar>
              <w:left w:w="56" w:type="dxa"/>
              <w:right w:w="56" w:type="dxa"/>
            </w:tcMar>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41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u w:val="double"/>
                <w:lang w:eastAsia="ru-RU" w:bidi="ru-RU"/>
              </w:rPr>
              <w:t>4,818,183</w:t>
            </w:r>
            <w:r w:rsidRPr="00743CE5">
              <w:rPr>
                <w:rFonts w:ascii="Tahoma" w:eastAsia="Times New Roman" w:hAnsi="Tahoma" w:cs="Tahoma"/>
                <w:color w:val="000000"/>
                <w:sz w:val="18"/>
                <w:szCs w:val="18"/>
                <w:lang w:eastAsia="ru-RU" w:bidi="ru-RU"/>
              </w:rPr>
              <w:tab/>
            </w:r>
          </w:p>
        </w:tc>
        <w:tc>
          <w:tcPr>
            <w:tcW w:w="1281" w:type="dxa"/>
            <w:tcBorders>
              <w:top w:val="nil"/>
              <w:left w:val="nil"/>
              <w:bottom w:val="nil"/>
              <w:right w:val="nil"/>
            </w:tcBorders>
            <w:tcMar>
              <w:left w:w="39" w:type="dxa"/>
              <w:right w:w="39" w:type="dxa"/>
            </w:tcMar>
            <w:vAlign w:val="bottom"/>
          </w:tcPr>
          <w:p w:rsidR="00743CE5" w:rsidRPr="00743CE5" w:rsidRDefault="00743CE5" w:rsidP="00743CE5">
            <w:pPr>
              <w:widowControl w:val="0"/>
              <w:tabs>
                <w:tab w:val="right" w:pos="1058"/>
                <w:tab w:val="left" w:pos="1200"/>
              </w:tabs>
              <w:autoSpaceDE w:val="0"/>
              <w:autoSpaceDN w:val="0"/>
              <w:adjustRightInd w:val="0"/>
              <w:spacing w:after="0" w:line="240" w:lineRule="auto"/>
              <w:jc w:val="right"/>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ab/>
            </w:r>
            <w:r w:rsidRPr="00743CE5">
              <w:rPr>
                <w:rFonts w:ascii="Tahoma" w:eastAsia="Times New Roman" w:hAnsi="Tahoma" w:cs="Tahoma"/>
                <w:color w:val="000000"/>
                <w:sz w:val="18"/>
                <w:szCs w:val="18"/>
                <w:u w:val="double"/>
                <w:lang w:eastAsia="ru-RU" w:bidi="ru-RU"/>
              </w:rPr>
              <w:t>-</w:t>
            </w:r>
            <w:r w:rsidRPr="00743CE5">
              <w:rPr>
                <w:rFonts w:ascii="Tahoma" w:eastAsia="Times New Roman" w:hAnsi="Tahoma" w:cs="Tahoma"/>
                <w:color w:val="000000"/>
                <w:sz w:val="18"/>
                <w:szCs w:val="18"/>
                <w:lang w:eastAsia="ru-RU" w:bidi="ru-RU"/>
              </w:rPr>
              <w:tab/>
            </w: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Текущие счета акционеров являются беспроцентными и не имеют конкретной даты погашения.</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27.10</w:t>
      </w:r>
      <w:proofErr w:type="gramStart"/>
      <w:r w:rsidRPr="00743CE5">
        <w:rPr>
          <w:rFonts w:ascii="Tahoma" w:eastAsia="Times New Roman" w:hAnsi="Tahoma" w:cs="Tahoma"/>
          <w:b/>
          <w:color w:val="000000"/>
          <w:sz w:val="18"/>
          <w:szCs w:val="18"/>
          <w:lang w:eastAsia="ru-RU" w:bidi="ru-RU"/>
        </w:rPr>
        <w:t xml:space="preserve"> П</w:t>
      </w:r>
      <w:proofErr w:type="gramEnd"/>
      <w:r w:rsidRPr="00743CE5">
        <w:rPr>
          <w:rFonts w:ascii="Tahoma" w:eastAsia="Times New Roman" w:hAnsi="Tahoma" w:cs="Tahoma"/>
          <w:b/>
          <w:color w:val="000000"/>
          <w:sz w:val="18"/>
          <w:szCs w:val="18"/>
          <w:lang w:eastAsia="ru-RU" w:bidi="ru-RU"/>
        </w:rPr>
        <w:t xml:space="preserve">рочие доходы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bl>
      <w:tblPr>
        <w:tblW w:w="9356" w:type="dxa"/>
        <w:tblLayout w:type="fixed"/>
        <w:tblLook w:val="0000" w:firstRow="0" w:lastRow="0" w:firstColumn="0" w:lastColumn="0" w:noHBand="0" w:noVBand="0"/>
      </w:tblPr>
      <w:tblGrid>
        <w:gridCol w:w="5529"/>
        <w:gridCol w:w="1134"/>
        <w:gridCol w:w="1417"/>
        <w:gridCol w:w="1276"/>
      </w:tblGrid>
      <w:tr w:rsidR="00743CE5" w:rsidRPr="00743CE5" w:rsidTr="00CB150F">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2014 г.</w:t>
            </w: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2013 г.</w:t>
            </w:r>
          </w:p>
        </w:tc>
      </w:tr>
      <w:tr w:rsidR="00743CE5" w:rsidRPr="00743CE5" w:rsidTr="00CB150F">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долл. США</w:t>
            </w:r>
          </w:p>
        </w:tc>
        <w:tc>
          <w:tcPr>
            <w:tcW w:w="1276" w:type="dxa"/>
          </w:tcPr>
          <w:p w:rsidR="00743CE5" w:rsidRPr="00743CE5" w:rsidRDefault="00743CE5" w:rsidP="00743CE5">
            <w:pPr>
              <w:widowControl w:val="0"/>
              <w:autoSpaceDE w:val="0"/>
              <w:autoSpaceDN w:val="0"/>
              <w:adjustRightInd w:val="0"/>
              <w:spacing w:after="0" w:line="240" w:lineRule="auto"/>
              <w:ind w:firstLine="141"/>
              <w:jc w:val="right"/>
              <w:rPr>
                <w:rFonts w:ascii="Tahoma" w:eastAsia="Times New Roman" w:hAnsi="Tahoma" w:cs="Tahoma"/>
                <w:bCs/>
                <w:color w:val="000000"/>
                <w:sz w:val="18"/>
                <w:szCs w:val="18"/>
                <w:lang w:eastAsia="ru-RU" w:bidi="ru-RU"/>
              </w:rPr>
            </w:pPr>
            <w:r w:rsidRPr="00743CE5">
              <w:rPr>
                <w:rFonts w:ascii="Tahoma" w:eastAsia="Times New Roman" w:hAnsi="Tahoma" w:cs="Tahoma"/>
                <w:bCs/>
                <w:color w:val="000000"/>
                <w:sz w:val="18"/>
                <w:szCs w:val="18"/>
                <w:lang w:eastAsia="ru-RU" w:bidi="ru-RU"/>
              </w:rPr>
              <w:t>долл. США</w:t>
            </w:r>
          </w:p>
        </w:tc>
      </w:tr>
      <w:tr w:rsidR="00743CE5" w:rsidRPr="00743CE5" w:rsidTr="00CB150F">
        <w:tc>
          <w:tcPr>
            <w:tcW w:w="5529" w:type="dxa"/>
          </w:tcPr>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Доход от перевыставления расходов дочерним предприятиям</w:t>
            </w:r>
          </w:p>
        </w:tc>
        <w:tc>
          <w:tcPr>
            <w:tcW w:w="1134"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right"/>
              <w:rPr>
                <w:rFonts w:ascii="Tahoma" w:eastAsia="Times New Roman" w:hAnsi="Tahoma" w:cs="Tahoma"/>
                <w:b/>
                <w:bCs/>
                <w:color w:val="000000"/>
                <w:sz w:val="18"/>
                <w:szCs w:val="18"/>
                <w:u w:val="single"/>
                <w:lang w:eastAsia="ru-RU" w:bidi="ru-RU"/>
              </w:rPr>
            </w:pPr>
          </w:p>
        </w:tc>
        <w:tc>
          <w:tcPr>
            <w:tcW w:w="1417"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
                <w:bCs/>
                <w:color w:val="000000"/>
                <w:sz w:val="18"/>
                <w:szCs w:val="18"/>
                <w:u w:val="thick"/>
                <w:lang w:eastAsia="ru-RU" w:bidi="ru-RU"/>
              </w:rPr>
            </w:pPr>
            <w:r w:rsidRPr="00743CE5">
              <w:rPr>
                <w:rFonts w:ascii="Tahoma" w:eastAsia="Times New Roman" w:hAnsi="Tahoma" w:cs="Tahoma"/>
                <w:b/>
                <w:color w:val="000000"/>
                <w:sz w:val="18"/>
                <w:szCs w:val="18"/>
                <w:u w:val="thick"/>
                <w:lang w:eastAsia="ru-RU" w:bidi="ru-RU"/>
              </w:rPr>
              <w:t xml:space="preserve">   3,625,911</w:t>
            </w:r>
          </w:p>
        </w:tc>
        <w:tc>
          <w:tcPr>
            <w:tcW w:w="1276" w:type="dxa"/>
          </w:tcPr>
          <w:p w:rsidR="00743CE5" w:rsidRPr="00743CE5" w:rsidRDefault="00743CE5" w:rsidP="00743CE5">
            <w:pPr>
              <w:widowControl w:val="0"/>
              <w:tabs>
                <w:tab w:val="right" w:pos="1306"/>
                <w:tab w:val="left" w:pos="1332"/>
              </w:tabs>
              <w:autoSpaceDE w:val="0"/>
              <w:autoSpaceDN w:val="0"/>
              <w:adjustRightInd w:val="0"/>
              <w:spacing w:after="0" w:line="240" w:lineRule="auto"/>
              <w:jc w:val="center"/>
              <w:rPr>
                <w:rFonts w:ascii="Tahoma" w:eastAsia="Times New Roman" w:hAnsi="Tahoma" w:cs="Tahoma"/>
                <w:bCs/>
                <w:color w:val="000000"/>
                <w:sz w:val="18"/>
                <w:szCs w:val="18"/>
                <w:lang w:eastAsia="ru-RU" w:bidi="ru-RU"/>
              </w:rPr>
            </w:pPr>
            <w:r w:rsidRPr="00743CE5">
              <w:rPr>
                <w:rFonts w:ascii="Tahoma" w:eastAsia="Times New Roman" w:hAnsi="Tahoma" w:cs="Tahoma"/>
                <w:color w:val="000000"/>
                <w:sz w:val="18"/>
                <w:szCs w:val="18"/>
                <w:u w:val="single"/>
                <w:lang w:eastAsia="ru-RU" w:bidi="ru-RU"/>
              </w:rPr>
              <w:t xml:space="preserve">   3,461,480</w:t>
            </w:r>
          </w:p>
        </w:tc>
      </w:tr>
      <w:tr w:rsidR="00743CE5" w:rsidRPr="00743CE5" w:rsidTr="00CB150F">
        <w:tc>
          <w:tcPr>
            <w:tcW w:w="5529" w:type="dxa"/>
          </w:tcPr>
          <w:p w:rsidR="00743CE5" w:rsidRPr="00743CE5" w:rsidRDefault="00743CE5" w:rsidP="00743CE5">
            <w:pPr>
              <w:widowControl w:val="0"/>
              <w:autoSpaceDE w:val="0"/>
              <w:autoSpaceDN w:val="0"/>
              <w:adjustRightInd w:val="0"/>
              <w:spacing w:after="0" w:line="360" w:lineRule="auto"/>
              <w:rPr>
                <w:rFonts w:ascii="Tahoma" w:eastAsia="Times New Roman" w:hAnsi="Tahoma" w:cs="Tahoma"/>
                <w:b/>
                <w:bCs/>
                <w:color w:val="000000"/>
                <w:sz w:val="18"/>
                <w:szCs w:val="18"/>
                <w:lang w:eastAsia="ru-RU" w:bidi="ru-RU"/>
              </w:rPr>
            </w:pPr>
          </w:p>
        </w:tc>
        <w:tc>
          <w:tcPr>
            <w:tcW w:w="1134"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417"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b/>
                <w:bCs/>
                <w:color w:val="000000"/>
                <w:sz w:val="18"/>
                <w:szCs w:val="18"/>
                <w:lang w:eastAsia="ru-RU" w:bidi="ru-RU"/>
              </w:rPr>
            </w:pPr>
          </w:p>
        </w:tc>
        <w:tc>
          <w:tcPr>
            <w:tcW w:w="1276" w:type="dxa"/>
          </w:tcPr>
          <w:p w:rsidR="00743CE5" w:rsidRPr="00743CE5" w:rsidRDefault="00743CE5" w:rsidP="00743CE5">
            <w:pPr>
              <w:widowControl w:val="0"/>
              <w:autoSpaceDE w:val="0"/>
              <w:autoSpaceDN w:val="0"/>
              <w:adjustRightInd w:val="0"/>
              <w:spacing w:after="0" w:line="240" w:lineRule="auto"/>
              <w:jc w:val="right"/>
              <w:rPr>
                <w:rFonts w:ascii="Tahoma" w:eastAsia="Times New Roman" w:hAnsi="Tahoma" w:cs="Tahoma"/>
                <w:color w:val="000000"/>
                <w:sz w:val="18"/>
                <w:szCs w:val="18"/>
                <w:lang w:eastAsia="ru-RU" w:bidi="ru-RU"/>
              </w:rPr>
            </w:pPr>
          </w:p>
        </w:tc>
      </w:tr>
    </w:tbl>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27.11</w:t>
      </w:r>
      <w:r w:rsidRPr="00743CE5">
        <w:rPr>
          <w:rFonts w:ascii="Tahoma" w:eastAsia="Times New Roman" w:hAnsi="Tahoma" w:cs="Tahoma"/>
          <w:color w:val="000000"/>
          <w:sz w:val="18"/>
          <w:szCs w:val="18"/>
          <w:lang w:eastAsia="ru-RU" w:bidi="ru-RU"/>
        </w:rPr>
        <w:tab/>
      </w:r>
      <w:r w:rsidRPr="00743CE5">
        <w:rPr>
          <w:rFonts w:ascii="Tahoma" w:eastAsia="Times New Roman" w:hAnsi="Tahoma" w:cs="Tahoma"/>
          <w:b/>
          <w:color w:val="000000"/>
          <w:sz w:val="18"/>
          <w:szCs w:val="18"/>
          <w:lang w:eastAsia="ru-RU" w:bidi="ru-RU"/>
        </w:rPr>
        <w:t>Приобретение и выбытие инвестиций в рамках операций со связанными сторонами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Информация о приобретении и выбытии инвестиций в рамках операций со связанными сторонами представлена в Примечаниях 17 и 7.</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28. Условные обязательства </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По состоянию на 31 декабря 2014 года у Компании отсутствовали </w:t>
      </w:r>
      <w:proofErr w:type="gramStart"/>
      <w:r w:rsidRPr="00743CE5">
        <w:rPr>
          <w:rFonts w:ascii="Tahoma" w:eastAsia="Times New Roman" w:hAnsi="Tahoma" w:cs="Tahoma"/>
          <w:color w:val="000000"/>
          <w:sz w:val="18"/>
          <w:szCs w:val="18"/>
          <w:lang w:eastAsia="ru-RU" w:bidi="ru-RU"/>
        </w:rPr>
        <w:t>какое-либо</w:t>
      </w:r>
      <w:proofErr w:type="gramEnd"/>
      <w:r w:rsidRPr="00743CE5">
        <w:rPr>
          <w:rFonts w:ascii="Tahoma" w:eastAsia="Times New Roman" w:hAnsi="Tahoma" w:cs="Tahoma"/>
          <w:color w:val="000000"/>
          <w:sz w:val="18"/>
          <w:szCs w:val="18"/>
          <w:lang w:eastAsia="ru-RU" w:bidi="ru-RU"/>
        </w:rPr>
        <w:t xml:space="preserve"> условные обязательства.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color w:val="000000"/>
          <w:sz w:val="18"/>
          <w:szCs w:val="18"/>
          <w:lang w:eastAsia="ru-RU" w:bidi="ru-RU"/>
        </w:rPr>
      </w:pPr>
      <w:r w:rsidRPr="00743CE5">
        <w:rPr>
          <w:rFonts w:ascii="Tahoma" w:eastAsia="Times New Roman" w:hAnsi="Tahoma" w:cs="Tahoma"/>
          <w:b/>
          <w:color w:val="000000"/>
          <w:sz w:val="18"/>
          <w:szCs w:val="18"/>
          <w:lang w:eastAsia="ru-RU" w:bidi="ru-RU"/>
        </w:rPr>
        <w:t>29. Экономическая среда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b/>
          <w:bCs/>
          <w:i/>
          <w:iCs/>
          <w:color w:val="000000"/>
          <w:sz w:val="18"/>
          <w:szCs w:val="18"/>
          <w:lang w:eastAsia="ru-RU" w:bidi="ru-RU"/>
        </w:rPr>
        <w:br/>
      </w:r>
      <w:r w:rsidRPr="00743CE5">
        <w:rPr>
          <w:rFonts w:ascii="Tahoma" w:eastAsia="Times New Roman" w:hAnsi="Tahoma" w:cs="Tahoma"/>
          <w:color w:val="000000"/>
          <w:sz w:val="18"/>
          <w:szCs w:val="18"/>
          <w:lang w:eastAsia="ru-RU" w:bidi="ru-RU"/>
        </w:rPr>
        <w:t>Экономика Российской Федерации проявляет некоторые характерные особенности, присущие развивающимся рынкам. Экономика страны особенно чувствительна к ценам на нефть и газ. Налоговое, валютное и таможенное законодательство</w:t>
      </w:r>
      <w:r w:rsidRPr="00743CE5" w:rsidDel="00577518">
        <w:rPr>
          <w:rFonts w:ascii="Tahoma" w:eastAsia="Times New Roman" w:hAnsi="Tahoma" w:cs="Tahoma"/>
          <w:color w:val="000000"/>
          <w:sz w:val="18"/>
          <w:szCs w:val="18"/>
          <w:lang w:eastAsia="ru-RU" w:bidi="ru-RU"/>
        </w:rPr>
        <w:t xml:space="preserve"> </w:t>
      </w:r>
      <w:r w:rsidRPr="00743CE5">
        <w:rPr>
          <w:rFonts w:ascii="Tahoma" w:eastAsia="Times New Roman" w:hAnsi="Tahoma" w:cs="Tahoma"/>
          <w:color w:val="000000"/>
          <w:sz w:val="18"/>
          <w:szCs w:val="18"/>
          <w:lang w:eastAsia="ru-RU" w:bidi="ru-RU"/>
        </w:rPr>
        <w:t xml:space="preserve">Российской Федерации продолжает развиваться и допускает возможность разных толкований. В 2014 году на экономическую ситуацию в России отрицательно повлияли снижение цен на нефть и сохраняющаяся политическая напряженность в данном регионе, а также международные санкции в отношении некоторых российских компаний и граждан. В </w:t>
      </w:r>
      <w:proofErr w:type="gramStart"/>
      <w:r w:rsidRPr="00743CE5">
        <w:rPr>
          <w:rFonts w:ascii="Tahoma" w:eastAsia="Times New Roman" w:hAnsi="Tahoma" w:cs="Tahoma"/>
          <w:color w:val="000000"/>
          <w:sz w:val="18"/>
          <w:szCs w:val="18"/>
          <w:lang w:eastAsia="ru-RU" w:bidi="ru-RU"/>
        </w:rPr>
        <w:t>результате</w:t>
      </w:r>
      <w:proofErr w:type="gramEnd"/>
      <w:r w:rsidRPr="00743CE5">
        <w:rPr>
          <w:rFonts w:ascii="Tahoma" w:eastAsia="Times New Roman" w:hAnsi="Tahoma" w:cs="Tahoma"/>
          <w:color w:val="000000"/>
          <w:sz w:val="18"/>
          <w:szCs w:val="18"/>
          <w:lang w:eastAsia="ru-RU" w:bidi="ru-RU"/>
        </w:rPr>
        <w:t xml:space="preserve"> этого в 2014 году:</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обменный курс ЦБ РФ колебался в диапазоне от 32,7292 руб. на 1 января 2014 года до 56,2584 руб. за доллар США на 31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i/>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ключевая ставка рефинансирования ЦБ РФ увеличилась с 5,5% годовых до 17,0% годовых, в том числе с 12,0% годовых до 17,0% годовых 16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фондовый индекс РТС варьировался в диапазоне от 1,444 до 578 пунктов;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доступ к капиталу на международных финансовых рынках был ограничен для некоторых компаний; 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увеличился отток капитала по сравнению с предыдущими годами.</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Финансовые рынки по-прежнему характеризуются отсутствием стабильности, частыми и существенными изменениями цен, и увеличением спредов по торговым операциям. После 31 декабря 2014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За период вплоть до 31 марта 2015 года обменный курс ЦБ РФ колебался в диапазоне от 56,2376 руб. на 1 января 2015 года до 58,4643 руб. за доллар США 31 марта 2015 года.</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В </w:t>
      </w:r>
      <w:proofErr w:type="gramStart"/>
      <w:r w:rsidRPr="00743CE5">
        <w:rPr>
          <w:rFonts w:ascii="Tahoma" w:eastAsia="Times New Roman" w:hAnsi="Tahoma" w:cs="Tahoma"/>
          <w:color w:val="000000"/>
          <w:sz w:val="18"/>
          <w:szCs w:val="18"/>
          <w:lang w:eastAsia="ru-RU" w:bidi="ru-RU"/>
        </w:rPr>
        <w:t>январе</w:t>
      </w:r>
      <w:proofErr w:type="gramEnd"/>
      <w:r w:rsidRPr="00743CE5">
        <w:rPr>
          <w:rFonts w:ascii="Tahoma" w:eastAsia="Times New Roman" w:hAnsi="Tahoma" w:cs="Tahoma"/>
          <w:color w:val="000000"/>
          <w:sz w:val="18"/>
          <w:szCs w:val="18"/>
          <w:lang w:eastAsia="ru-RU" w:bidi="ru-RU"/>
        </w:rPr>
        <w:t xml:space="preserve"> 2015 года кредитный рейтинг России был снижен агентством Fitch Ratings до BBB-, а агентство Standard &amp; Poor’s понизило его до BB+, т.е. ниже инвестиционного уровня впервые за десять лет. В </w:t>
      </w:r>
      <w:proofErr w:type="gramStart"/>
      <w:r w:rsidRPr="00743CE5">
        <w:rPr>
          <w:rFonts w:ascii="Tahoma" w:eastAsia="Times New Roman" w:hAnsi="Tahoma" w:cs="Tahoma"/>
          <w:color w:val="000000"/>
          <w:sz w:val="18"/>
          <w:szCs w:val="18"/>
          <w:lang w:eastAsia="ru-RU" w:bidi="ru-RU"/>
        </w:rPr>
        <w:t>феврале</w:t>
      </w:r>
      <w:proofErr w:type="gramEnd"/>
      <w:r w:rsidRPr="00743CE5">
        <w:rPr>
          <w:rFonts w:ascii="Tahoma" w:eastAsia="Times New Roman" w:hAnsi="Tahoma" w:cs="Tahoma"/>
          <w:color w:val="000000"/>
          <w:sz w:val="18"/>
          <w:szCs w:val="18"/>
          <w:lang w:eastAsia="ru-RU" w:bidi="ru-RU"/>
        </w:rPr>
        <w:t xml:space="preserve"> 2015 года агентство Moody’s понизило рейтинг России с Baa3 до Ba1. Рейтинг России агентства Fitch Ratings по-прежнему соответствует инвестиционному уровню. Однако все эти рейтинговые агентства дали негативный прогноз на будущее, что означает, что кредитный рейтинг России может быть понижен в будущем.</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Фондовый индекс РТС варьировался в диапазоне от 737 до 929 пунктов.</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xml:space="preserve">• Объем банковских операций по кредитованию снизился в связи с тем, что банки осуществляют пересмотр </w:t>
      </w:r>
      <w:proofErr w:type="gramStart"/>
      <w:r w:rsidRPr="00743CE5">
        <w:rPr>
          <w:rFonts w:ascii="Tahoma" w:eastAsia="Times New Roman" w:hAnsi="Tahoma" w:cs="Tahoma"/>
          <w:color w:val="000000"/>
          <w:sz w:val="18"/>
          <w:szCs w:val="18"/>
          <w:lang w:eastAsia="ru-RU" w:bidi="ru-RU"/>
        </w:rPr>
        <w:t>бизнес-моделей</w:t>
      </w:r>
      <w:proofErr w:type="gramEnd"/>
      <w:r w:rsidRPr="00743CE5">
        <w:rPr>
          <w:rFonts w:ascii="Tahoma" w:eastAsia="Times New Roman" w:hAnsi="Tahoma" w:cs="Tahoma"/>
          <w:color w:val="000000"/>
          <w:sz w:val="18"/>
          <w:szCs w:val="18"/>
          <w:lang w:eastAsia="ru-RU" w:bidi="ru-RU"/>
        </w:rPr>
        <w:t xml:space="preserve"> своих заемщиков и их возможности погашения задолженности в связи с увеличением процентных ставок по кредитам и изменением обменных курсов валют.</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 Ключевая ставка рефинансирования ЦБ РФ была снижена с 17,0% годовых до 14,0% годовых.</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iCs/>
          <w:color w:val="000000"/>
          <w:sz w:val="18"/>
          <w:szCs w:val="18"/>
          <w:lang w:eastAsia="ru-RU" w:bidi="ru-RU"/>
        </w:rPr>
      </w:pPr>
      <w:r w:rsidRPr="00743CE5">
        <w:rPr>
          <w:rFonts w:ascii="Tahoma" w:eastAsia="Times New Roman" w:hAnsi="Tahoma" w:cs="Tahoma"/>
          <w:color w:val="000000"/>
          <w:sz w:val="18"/>
          <w:szCs w:val="18"/>
          <w:lang w:eastAsia="ru-RU" w:bidi="ru-RU"/>
        </w:rPr>
        <w:t xml:space="preserve">Налоговое законодательство Российской Федерации, действующее или по существу вступившее в силу на конец отчетного периода, допускает возможность разных трактовок применительно к сделкам и операциям Компании. В связи с этим позиция руководства в отношении налогов и документы, обосновывающие эту позицию, могут быть оспорены налоговыми органами. Российское налоговое администрирование постепенно ужесточается, в том числе повышается риск проверок операций, не имеющих четкой финансово-хозяйственной цели или выполненных при участии контрагентов, не соблюдающих требования налогового законодательства. Налоговые периоды остаются открытыми для проверки соответствующими налоговыми органами на предмет уплаты налогов в течение трех календарных лет, предшествующих году, в котором было принято решение о поведении проверки. В отдельных </w:t>
      </w:r>
      <w:proofErr w:type="gramStart"/>
      <w:r w:rsidRPr="00743CE5">
        <w:rPr>
          <w:rFonts w:ascii="Tahoma" w:eastAsia="Times New Roman" w:hAnsi="Tahoma" w:cs="Tahoma"/>
          <w:color w:val="000000"/>
          <w:sz w:val="18"/>
          <w:szCs w:val="18"/>
          <w:lang w:eastAsia="ru-RU" w:bidi="ru-RU"/>
        </w:rPr>
        <w:t>случаях</w:t>
      </w:r>
      <w:proofErr w:type="gramEnd"/>
      <w:r w:rsidRPr="00743CE5">
        <w:rPr>
          <w:rFonts w:ascii="Tahoma" w:eastAsia="Times New Roman" w:hAnsi="Tahoma" w:cs="Tahoma"/>
          <w:color w:val="000000"/>
          <w:sz w:val="18"/>
          <w:szCs w:val="18"/>
          <w:lang w:eastAsia="ru-RU" w:bidi="ru-RU"/>
        </w:rPr>
        <w:t xml:space="preserve"> проверки могут охватывать более длительные периоды.</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iCs/>
          <w:color w:val="000000"/>
          <w:sz w:val="18"/>
          <w:szCs w:val="18"/>
          <w:lang w:eastAsia="ru-RU" w:bidi="ru-RU"/>
        </w:rPr>
      </w:pPr>
      <w:r w:rsidRPr="00743CE5">
        <w:rPr>
          <w:rFonts w:ascii="Tahoma" w:eastAsia="Times New Roman" w:hAnsi="Tahoma" w:cs="Tahoma"/>
          <w:color w:val="000000"/>
          <w:sz w:val="18"/>
          <w:szCs w:val="18"/>
          <w:lang w:eastAsia="ru-RU" w:bidi="ru-RU"/>
        </w:rPr>
        <w:t>Российское законодательство о трансфертном ценообразовании в значительной степени соответствуют международным принципам трансфертного ценообразования, разработанным Организацией экономического сотрудничества и развития (ОЭСР). Законодательство о трансфертном ценообразовании предусматривает возможность доначисления налоговых обязательств по контролируемым сделкам (сделкам с взаимозависимыми лицами и определенным видам сделок с невзаимозависимыми лицами), если цена сделки не соответствует рыночной.</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i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
          <w:bCs/>
          <w:color w:val="000000"/>
          <w:sz w:val="18"/>
          <w:szCs w:val="18"/>
          <w:lang w:eastAsia="ru-RU" w:bidi="ru-RU"/>
        </w:rPr>
        <w:t>29. Договорные обязательства и экономическая среда (продолжение)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Налоговые обязательства, возникающие в результате операций между компаниями, определяются на основе фактических цен, использовавшихся в таких операциях. Существует вероятность того, что по мере дальнейшего развития интерпретации правил трансфертного ценообразования эти трансфертные цены могут быть оспорены. Влияние такого развития событий не может быть оценено с достаточной степенью надежности, однако может быть значительным с точки зрения финансового положения и/или хозяйственной деятельности Предприятия в целом.</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Так как российское налоговое законодательство не содержит четкого руководства по некоторым вопросам, Компания время от времени применяет такие интерпретации законодательства, которые приводят к снижению общей суммы налогов по Компании. Руководство в настоящее время считает, что существует вероятность того, что налоговые позиции и интерпретации Группы могут быть подтверждены, однако существует риск того, что потребуется отток ресурсов в том случае, если эти налоговые позиции и интерпретации законодательства будут оспорены соответствующими органами. Влияние такого развития событий не может быть оценено с достаточной степенью надежности, однако может быть значительным с точки зрения финансового положения и/или хозяйственной деятельности Предприятия в целом.</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Экономика Кипра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bCs/>
          <w:iCs/>
          <w:color w:val="000000"/>
          <w:sz w:val="18"/>
          <w:szCs w:val="18"/>
          <w:lang w:eastAsia="ru-RU" w:bidi="ru-RU"/>
        </w:rPr>
      </w:pPr>
      <w:r w:rsidRPr="00743CE5">
        <w:rPr>
          <w:rFonts w:ascii="Tahoma" w:eastAsia="Times New Roman" w:hAnsi="Tahoma" w:cs="Tahoma"/>
          <w:color w:val="000000"/>
          <w:sz w:val="18"/>
          <w:szCs w:val="18"/>
          <w:lang w:eastAsia="ru-RU" w:bidi="ru-RU"/>
        </w:rPr>
        <w:t>На экономику Кипра негативно повлияли кризис кипрской банковской системы и невозможность получения Республикой Кипр заемных средств на международных рынках. В связи с этими событиями были проведены переговоры между Республикой Кипр и Европейской комиссией, Европейским центральным банком и Международным валютным фондом («тройкой» кредиторов) по вопросам оказания финансовой поддержки, по результатам которых было принято решение Еврогруппы от 25 марта 2013 года. Решение включало реструктуризацию двух крупнейших банков Кипра за счет осуществления программы экстренной помощи путем вовлечения в нее держателей облигаций. Кроме того, в 2013 и 2014 гг. в экономике Кипра продолжился спад, приведший к снижению валового национального продукта.</w:t>
      </w: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jc w:val="both"/>
        <w:rPr>
          <w:rFonts w:ascii="Tahoma" w:eastAsia="Times New Roman" w:hAnsi="Tahoma" w:cs="Tahoma"/>
          <w:color w:val="000000"/>
          <w:sz w:val="18"/>
          <w:szCs w:val="18"/>
          <w:lang w:eastAsia="ru-RU" w:bidi="ru-RU"/>
        </w:rPr>
      </w:pPr>
      <w:r w:rsidRPr="00743CE5">
        <w:rPr>
          <w:rFonts w:ascii="Tahoma" w:eastAsia="Times New Roman" w:hAnsi="Tahoma" w:cs="Tahoma"/>
          <w:color w:val="000000"/>
          <w:sz w:val="18"/>
          <w:szCs w:val="18"/>
          <w:lang w:eastAsia="ru-RU" w:bidi="ru-RU"/>
        </w:rPr>
        <w:t>Согласно оценке руководства, изменения в экономике Кипа не оказывают воздействия на результаты деятельности и положение Компании.</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bCs/>
          <w:color w:val="000000"/>
          <w:sz w:val="18"/>
          <w:szCs w:val="18"/>
          <w:lang w:eastAsia="ru-RU" w:bidi="ru-RU"/>
        </w:rPr>
        <w:t xml:space="preserve">30. Существенные события после окончания отчетного периода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25 марта 2015 года Компания продала 100% в капитале Mokati Limited. Общая сумма полученного возмещения составила 67 000 тысяч долларов США.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 xml:space="preserve"> </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25 марта 2015 года Компания продала 100% в капитале Blandid. Общая сумма полученного возмещения составила 28 000 тысяч долларов США.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31 марта 2015 года Группа вновь приобрела за общую сумму 28 100 тысяч долларов США 100% в капитале компании Blandid Limited, которой принадлежала доля 50.1% в капитале Solorita Holding Limited. Компании Solorita Holding Limited принадлежит 100% в капитале компании Asabelle Limited, которой принадлежат Nezoral Limited, Finance Marekkon Limited и Merissania Limited. Этим трем компаниям принадлежит бизнес-центр «Большевик» в Москве.</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r w:rsidRPr="00743CE5">
        <w:rPr>
          <w:rFonts w:ascii="Tahoma" w:eastAsia="Times New Roman" w:hAnsi="Tahoma" w:cs="Tahoma"/>
          <w:bCs/>
          <w:color w:val="000000"/>
          <w:sz w:val="18"/>
          <w:szCs w:val="18"/>
          <w:lang w:eastAsia="ru-RU" w:bidi="ru-RU"/>
        </w:rPr>
        <w:t>5 мая 2015 года Компания продала 100% в капитале Sabaton Holdings Limited. Общая сумма полученного возмещения составила 88 000 тысяч долларов США.</w:t>
      </w: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Cs/>
          <w:i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r w:rsidRPr="00743CE5">
        <w:rPr>
          <w:rFonts w:ascii="Tahoma" w:eastAsia="Times New Roman" w:hAnsi="Tahoma" w:cs="Tahoma"/>
          <w:b/>
          <w:color w:val="000000"/>
          <w:sz w:val="18"/>
          <w:szCs w:val="18"/>
          <w:lang w:eastAsia="ru-RU" w:bidi="ru-RU"/>
        </w:rPr>
        <w:t>Аудиторское заключение представлено на страницах 4 и 5.</w:t>
      </w: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widowControl w:val="0"/>
        <w:autoSpaceDE w:val="0"/>
        <w:autoSpaceDN w:val="0"/>
        <w:adjustRightInd w:val="0"/>
        <w:spacing w:after="0" w:line="240" w:lineRule="auto"/>
        <w:rPr>
          <w:rFonts w:ascii="Tahoma" w:eastAsia="Times New Roman" w:hAnsi="Tahoma" w:cs="Tahoma"/>
          <w:color w:val="000000"/>
          <w:sz w:val="18"/>
          <w:szCs w:val="18"/>
          <w:lang w:eastAsia="ru-RU" w:bidi="ru-RU"/>
        </w:rPr>
      </w:pPr>
    </w:p>
    <w:p w:rsidR="00743CE5" w:rsidRPr="00743CE5" w:rsidRDefault="00743CE5" w:rsidP="00743CE5">
      <w:pPr>
        <w:keepNext/>
        <w:widowControl w:val="0"/>
        <w:autoSpaceDE w:val="0"/>
        <w:autoSpaceDN w:val="0"/>
        <w:adjustRightInd w:val="0"/>
        <w:spacing w:after="0" w:line="240" w:lineRule="auto"/>
        <w:rPr>
          <w:rFonts w:ascii="Tahoma" w:eastAsia="Times New Roman" w:hAnsi="Tahoma" w:cs="Tahoma"/>
          <w:b/>
          <w:bCs/>
          <w:color w:val="000000"/>
          <w:sz w:val="18"/>
          <w:szCs w:val="18"/>
          <w:lang w:eastAsia="ru-RU" w:bidi="ru-RU"/>
        </w:rPr>
      </w:pPr>
    </w:p>
    <w:p w:rsidR="0073427F" w:rsidRPr="0073427F" w:rsidRDefault="0073427F" w:rsidP="00BE0092">
      <w:pPr>
        <w:autoSpaceDE w:val="0"/>
        <w:autoSpaceDN w:val="0"/>
        <w:spacing w:after="0" w:line="240" w:lineRule="auto"/>
        <w:jc w:val="center"/>
        <w:rPr>
          <w:rFonts w:ascii="Times New Roman" w:eastAsia="Times New Roman" w:hAnsi="Times New Roman" w:cs="Arial"/>
          <w:b/>
          <w:bCs/>
          <w:kern w:val="32"/>
          <w:sz w:val="24"/>
          <w:szCs w:val="24"/>
          <w:lang w:eastAsia="ru-RU"/>
        </w:rPr>
      </w:pPr>
    </w:p>
    <w:sectPr w:rsidR="0073427F" w:rsidRPr="0073427F" w:rsidSect="00CB150F">
      <w:type w:val="continuous"/>
      <w:pgSz w:w="11906" w:h="16838"/>
      <w:pgMar w:top="1021" w:right="850" w:bottom="102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27D" w:rsidRDefault="0069327D" w:rsidP="0073427F">
      <w:pPr>
        <w:spacing w:after="0" w:line="240" w:lineRule="auto"/>
      </w:pPr>
      <w:r>
        <w:separator/>
      </w:r>
    </w:p>
  </w:endnote>
  <w:endnote w:type="continuationSeparator" w:id="0">
    <w:p w:rsidR="0069327D" w:rsidRDefault="0069327D" w:rsidP="0073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635092"/>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593</w:t>
        </w:r>
        <w:r>
          <w:fldChar w:fldCharType="end"/>
        </w:r>
      </w:p>
    </w:sdtContent>
  </w:sdt>
  <w:p w:rsidR="0069327D" w:rsidRDefault="0069327D">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69327D">
    <w:pPr>
      <w:jc w:val="right"/>
    </w:pPr>
    <w:r>
      <w:fldChar w:fldCharType="begin"/>
    </w:r>
    <w:r>
      <w:instrText>PAGE   \* MERGEFORMAT</w:instrText>
    </w:r>
    <w:r>
      <w:fldChar w:fldCharType="separate"/>
    </w:r>
    <w:r w:rsidR="00AB2499">
      <w:rPr>
        <w:noProof/>
      </w:rPr>
      <w:t>607</w:t>
    </w:r>
    <w:r>
      <w:fldChar w:fldCharType="end"/>
    </w:r>
  </w:p>
  <w:p w:rsidR="0069327D" w:rsidRPr="005542D0" w:rsidRDefault="0069327D">
    <w:r>
      <w:t>Примечания на страницах с 11 по 45 составляют неотъемлемую часть данной финансовой отчетности.</w:t>
    </w:r>
  </w:p>
  <w:p w:rsidR="0069327D" w:rsidRPr="005542D0" w:rsidRDefault="0069327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9327D" w:rsidP="0069327D">
    <w:pPr>
      <w:jc w:val="right"/>
      <w:rPr>
        <w:sz w:val="24"/>
        <w:szCs w:val="24"/>
      </w:rPr>
    </w:pPr>
    <w:r w:rsidRPr="0069327D">
      <w:rPr>
        <w:sz w:val="24"/>
        <w:szCs w:val="24"/>
      </w:rPr>
      <w:fldChar w:fldCharType="begin"/>
    </w:r>
    <w:r w:rsidRPr="0069327D">
      <w:rPr>
        <w:sz w:val="24"/>
        <w:szCs w:val="24"/>
      </w:rPr>
      <w:instrText>PAGE   \* MERGEFORMAT</w:instrText>
    </w:r>
    <w:r w:rsidRPr="0069327D">
      <w:rPr>
        <w:sz w:val="24"/>
        <w:szCs w:val="24"/>
      </w:rPr>
      <w:fldChar w:fldCharType="separate"/>
    </w:r>
    <w:r w:rsidR="00AB2499">
      <w:rPr>
        <w:noProof/>
        <w:sz w:val="24"/>
        <w:szCs w:val="24"/>
      </w:rPr>
      <w:t>613</w:t>
    </w:r>
    <w:r w:rsidRPr="0069327D">
      <w:rPr>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615</w:t>
    </w:r>
    <w:r>
      <w:fldChar w:fldCharType="end"/>
    </w:r>
  </w:p>
  <w:p w:rsidR="0069327D" w:rsidRDefault="0069327D">
    <w:pPr>
      <w:rPr>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617</w:t>
    </w:r>
    <w:r>
      <w:fldChar w:fldCharType="end"/>
    </w:r>
  </w:p>
  <w:p w:rsidR="0069327D" w:rsidRDefault="0069327D">
    <w:pPr>
      <w:rPr>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440034"/>
      <w:docPartObj>
        <w:docPartGallery w:val="Page Numbers (Bottom of Page)"/>
        <w:docPartUnique/>
      </w:docPartObj>
    </w:sdtPr>
    <w:sdtContent>
      <w:p w:rsidR="00A154DE" w:rsidRDefault="00A154DE">
        <w:pPr>
          <w:pStyle w:val="a5"/>
          <w:jc w:val="right"/>
        </w:pPr>
        <w:r>
          <w:fldChar w:fldCharType="begin"/>
        </w:r>
        <w:r>
          <w:instrText>PAGE   \* MERGEFORMAT</w:instrText>
        </w:r>
        <w:r>
          <w:fldChar w:fldCharType="separate"/>
        </w:r>
        <w:r w:rsidR="00AB2499">
          <w:rPr>
            <w:noProof/>
          </w:rPr>
          <w:t>628</w:t>
        </w:r>
        <w:r>
          <w:fldChar w:fldCharType="end"/>
        </w:r>
      </w:p>
    </w:sdtContent>
  </w:sdt>
  <w:p w:rsidR="0069327D" w:rsidRDefault="0069327D">
    <w:pPr>
      <w:rPr>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79744" behindDoc="0" locked="1" layoutInCell="0" allowOverlap="1" wp14:anchorId="5EC99C99" wp14:editId="77898BFF">
              <wp:simplePos x="0" y="0"/>
              <wp:positionH relativeFrom="character">
                <wp:posOffset>0</wp:posOffset>
              </wp:positionH>
              <wp:positionV relativeFrom="paragraph">
                <wp:posOffset>57149</wp:posOffset>
              </wp:positionV>
              <wp:extent cx="5938520" cy="0"/>
              <wp:effectExtent l="0" t="0" r="2413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974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3dxwIAAJQ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CiFe3d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630</w:t>
    </w:r>
    <w:r>
      <w:fldChar w:fldCharType="end"/>
    </w:r>
  </w:p>
  <w:p w:rsidR="0069327D" w:rsidRDefault="0069327D">
    <w:pPr>
      <w:rPr>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77696" behindDoc="0" locked="1" layoutInCell="0" allowOverlap="1" wp14:anchorId="1A9E636F" wp14:editId="495948FA">
              <wp:simplePos x="0" y="0"/>
              <wp:positionH relativeFrom="character">
                <wp:posOffset>0</wp:posOffset>
              </wp:positionH>
              <wp:positionV relativeFrom="paragraph">
                <wp:posOffset>57149</wp:posOffset>
              </wp:positionV>
              <wp:extent cx="5938520" cy="0"/>
              <wp:effectExtent l="0" t="0" r="2413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7769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my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F3hB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DdDbmy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632</w:t>
    </w:r>
    <w:r>
      <w:fldChar w:fldCharType="end"/>
    </w:r>
  </w:p>
  <w:p w:rsidR="0069327D" w:rsidRDefault="0069327D">
    <w:pPr>
      <w:rPr>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75648" behindDoc="0" locked="1" layoutInCell="0" allowOverlap="1" wp14:anchorId="64EA2B7F" wp14:editId="0693A3AC">
              <wp:simplePos x="0" y="0"/>
              <wp:positionH relativeFrom="character">
                <wp:posOffset>0</wp:posOffset>
              </wp:positionH>
              <wp:positionV relativeFrom="paragraph">
                <wp:posOffset>57149</wp:posOffset>
              </wp:positionV>
              <wp:extent cx="5938520" cy="0"/>
              <wp:effectExtent l="0" t="0" r="2413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564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v8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G3h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C6IOv8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640</w:t>
    </w:r>
    <w:r>
      <w:fldChar w:fldCharType="end"/>
    </w:r>
  </w:p>
  <w:p w:rsidR="0069327D" w:rsidRDefault="0069327D">
    <w:pPr>
      <w:rPr>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73600" behindDoc="0" locked="1" layoutInCell="0" allowOverlap="1" wp14:anchorId="5A1B572B" wp14:editId="65EBF778">
              <wp:simplePos x="0" y="0"/>
              <wp:positionH relativeFrom="character">
                <wp:posOffset>0</wp:posOffset>
              </wp:positionH>
              <wp:positionV relativeFrom="paragraph">
                <wp:posOffset>57149</wp:posOffset>
              </wp:positionV>
              <wp:extent cx="5938520" cy="0"/>
              <wp:effectExtent l="0" t="0" r="2413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360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AptXo2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641</w:t>
    </w:r>
    <w:r>
      <w:fldChar w:fldCharType="end"/>
    </w:r>
  </w:p>
  <w:p w:rsidR="0069327D" w:rsidRDefault="0069327D">
    <w:pPr>
      <w:rPr>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71552" behindDoc="0" locked="1" layoutInCell="0" allowOverlap="1" wp14:anchorId="1B855D27" wp14:editId="665369C5">
              <wp:simplePos x="0" y="0"/>
              <wp:positionH relativeFrom="character">
                <wp:posOffset>0</wp:posOffset>
              </wp:positionH>
              <wp:positionV relativeFrom="paragraph">
                <wp:posOffset>57149</wp:posOffset>
              </wp:positionV>
              <wp:extent cx="5938520" cy="0"/>
              <wp:effectExtent l="0" t="0" r="2413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155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643</w:t>
    </w:r>
    <w:r>
      <w:fldChar w:fldCharType="end"/>
    </w:r>
  </w:p>
  <w:p w:rsidR="0069327D" w:rsidRDefault="0069327D">
    <w:pP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398564"/>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594</w:t>
        </w:r>
        <w:r>
          <w:fldChar w:fldCharType="end"/>
        </w:r>
      </w:p>
    </w:sdtContent>
  </w:sdt>
  <w:p w:rsidR="0069327D" w:rsidRDefault="0069327D">
    <w:pP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69504" behindDoc="0" locked="1" layoutInCell="0" allowOverlap="1" wp14:anchorId="2C8F1FF8" wp14:editId="09CA4B22">
              <wp:simplePos x="0" y="0"/>
              <wp:positionH relativeFrom="character">
                <wp:posOffset>0</wp:posOffset>
              </wp:positionH>
              <wp:positionV relativeFrom="paragraph">
                <wp:posOffset>57149</wp:posOffset>
              </wp:positionV>
              <wp:extent cx="5938520" cy="0"/>
              <wp:effectExtent l="0" t="0" r="2413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950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P6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FnhB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Cua3P6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646</w:t>
    </w:r>
    <w:r>
      <w:fldChar w:fldCharType="end"/>
    </w:r>
  </w:p>
  <w:p w:rsidR="0069327D" w:rsidRDefault="0069327D">
    <w:pPr>
      <w:rPr>
        <w:sz w:val="24"/>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67456" behindDoc="0" locked="1" layoutInCell="0" allowOverlap="1" wp14:anchorId="1F9B8918" wp14:editId="2CE71E15">
              <wp:simplePos x="0" y="0"/>
              <wp:positionH relativeFrom="character">
                <wp:posOffset>0</wp:posOffset>
              </wp:positionH>
              <wp:positionV relativeFrom="paragraph">
                <wp:posOffset>57149</wp:posOffset>
              </wp:positionV>
              <wp:extent cx="5938520" cy="0"/>
              <wp:effectExtent l="0" t="0" r="2413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745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AUohCO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648</w:t>
    </w:r>
    <w:r>
      <w:fldChar w:fldCharType="end"/>
    </w:r>
  </w:p>
  <w:p w:rsidR="0069327D" w:rsidRDefault="0069327D">
    <w:pPr>
      <w:rPr>
        <w:sz w:val="24"/>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65408" behindDoc="0" locked="1" layoutInCell="0" allowOverlap="1" wp14:anchorId="5A5CC3AB" wp14:editId="33CB6B09">
              <wp:simplePos x="0" y="0"/>
              <wp:positionH relativeFrom="character">
                <wp:posOffset>0</wp:posOffset>
              </wp:positionH>
              <wp:positionV relativeFrom="paragraph">
                <wp:posOffset>57149</wp:posOffset>
              </wp:positionV>
              <wp:extent cx="5938520" cy="0"/>
              <wp:effectExtent l="0" t="0" r="2413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540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650</w:t>
    </w:r>
    <w:r>
      <w:fldChar w:fldCharType="end"/>
    </w:r>
  </w:p>
  <w:p w:rsidR="0069327D" w:rsidRDefault="0069327D">
    <w:pPr>
      <w:rPr>
        <w:sz w:val="24"/>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63360" behindDoc="0" locked="1" layoutInCell="0" allowOverlap="1" wp14:anchorId="0CDC693A" wp14:editId="7EBD874B">
              <wp:simplePos x="0" y="0"/>
              <wp:positionH relativeFrom="character">
                <wp:posOffset>0</wp:posOffset>
              </wp:positionH>
              <wp:positionV relativeFrom="paragraph">
                <wp:posOffset>57149</wp:posOffset>
              </wp:positionV>
              <wp:extent cx="5938520" cy="0"/>
              <wp:effectExtent l="0" t="0" r="2413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m8xgIAAJI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653</w:t>
    </w:r>
    <w:r>
      <w:fldChar w:fldCharType="end"/>
    </w:r>
  </w:p>
  <w:p w:rsidR="0069327D" w:rsidRDefault="0069327D">
    <w:pPr>
      <w:rPr>
        <w:sz w:val="24"/>
        <w:szCs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61312" behindDoc="0" locked="1" layoutInCell="0" allowOverlap="1" wp14:anchorId="517AF53D" wp14:editId="751F1014">
              <wp:simplePos x="0" y="0"/>
              <wp:positionH relativeFrom="character">
                <wp:posOffset>0</wp:posOffset>
              </wp:positionH>
              <wp:positionV relativeFrom="paragraph">
                <wp:posOffset>57149</wp:posOffset>
              </wp:positionV>
              <wp:extent cx="5938520" cy="0"/>
              <wp:effectExtent l="0" t="0" r="2413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655</w:t>
    </w:r>
    <w:r>
      <w:fldChar w:fldCharType="end"/>
    </w:r>
  </w:p>
  <w:p w:rsidR="0069327D" w:rsidRDefault="0069327D">
    <w:pPr>
      <w:rPr>
        <w:sz w:val="24"/>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659264" behindDoc="0" locked="1" layoutInCell="0" allowOverlap="1" wp14:anchorId="0D25F7B8" wp14:editId="049D1016">
              <wp:simplePos x="0" y="0"/>
              <wp:positionH relativeFrom="character">
                <wp:posOffset>0</wp:posOffset>
              </wp:positionH>
              <wp:positionV relativeFrom="paragraph">
                <wp:posOffset>57149</wp:posOffset>
              </wp:positionV>
              <wp:extent cx="5938520" cy="0"/>
              <wp:effectExtent l="0" t="0" r="2413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" o:allowincell="f" strokeweight="1pt">
              <w10:anchorlock/>
            </v:line>
          </w:pict>
        </mc:Fallback>
      </mc:AlternateContent>
    </w:r>
  </w:p>
  <w:p w:rsidR="0069327D" w:rsidRDefault="00A154DE" w:rsidP="00A154DE">
    <w:pPr>
      <w:jc w:val="right"/>
    </w:pPr>
    <w:r>
      <w:fldChar w:fldCharType="begin"/>
    </w:r>
    <w:r>
      <w:instrText>PAGE   \* MERGEFORMAT</w:instrText>
    </w:r>
    <w:r>
      <w:fldChar w:fldCharType="separate"/>
    </w:r>
    <w:r w:rsidR="00AB2499">
      <w:rPr>
        <w:noProof/>
      </w:rPr>
      <w:t>663</w:t>
    </w:r>
    <w:r>
      <w:fldChar w:fldCharType="end"/>
    </w:r>
  </w:p>
  <w:p w:rsidR="0069327D" w:rsidRDefault="0069327D">
    <w:pPr>
      <w:rPr>
        <w:sz w:val="24"/>
        <w:szCs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A154DE" w:rsidP="00A154DE">
    <w:pPr>
      <w:jc w:val="right"/>
      <w:rPr>
        <w:sz w:val="24"/>
        <w:szCs w:val="24"/>
      </w:rPr>
    </w:pPr>
    <w:r w:rsidRPr="00A154DE">
      <w:rPr>
        <w:sz w:val="24"/>
        <w:szCs w:val="24"/>
      </w:rPr>
      <w:fldChar w:fldCharType="begin"/>
    </w:r>
    <w:r w:rsidRPr="00A154DE">
      <w:rPr>
        <w:sz w:val="24"/>
        <w:szCs w:val="24"/>
      </w:rPr>
      <w:instrText>PAGE   \* MERGEFORMAT</w:instrText>
    </w:r>
    <w:r w:rsidRPr="00A154DE">
      <w:rPr>
        <w:sz w:val="24"/>
        <w:szCs w:val="24"/>
      </w:rPr>
      <w:fldChar w:fldCharType="separate"/>
    </w:r>
    <w:r w:rsidR="00AB2499">
      <w:rPr>
        <w:noProof/>
        <w:sz w:val="24"/>
        <w:szCs w:val="24"/>
      </w:rPr>
      <w:t>664</w:t>
    </w:r>
    <w:r w:rsidRPr="00A154DE">
      <w:rPr>
        <w:sz w:val="24"/>
        <w:szCs w:val="2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415432"/>
      <w:docPartObj>
        <w:docPartGallery w:val="Page Numbers (Bottom of Page)"/>
        <w:docPartUnique/>
      </w:docPartObj>
    </w:sdtPr>
    <w:sdtContent>
      <w:p w:rsidR="00A154DE" w:rsidRDefault="00A154DE">
        <w:pPr>
          <w:pStyle w:val="a5"/>
          <w:jc w:val="right"/>
        </w:pPr>
        <w:r>
          <w:fldChar w:fldCharType="begin"/>
        </w:r>
        <w:r>
          <w:instrText>PAGE   \* MERGEFORMAT</w:instrText>
        </w:r>
        <w:r>
          <w:fldChar w:fldCharType="separate"/>
        </w:r>
        <w:r w:rsidR="00AB2499">
          <w:rPr>
            <w:noProof/>
          </w:rPr>
          <w:t>665</w:t>
        </w:r>
        <w:r>
          <w:fldChar w:fldCharType="end"/>
        </w:r>
      </w:p>
    </w:sdtContent>
  </w:sdt>
  <w:p w:rsidR="0069327D" w:rsidRDefault="0069327D">
    <w:pPr>
      <w:rPr>
        <w:sz w:val="24"/>
        <w:szCs w:val="2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fldChar w:fldCharType="begin"/>
    </w:r>
    <w:r>
      <w:instrText xml:space="preserve"> PAGE   \* MERGEFORMAT </w:instrText>
    </w:r>
    <w:r>
      <w:fldChar w:fldCharType="separate"/>
    </w:r>
    <w:r w:rsidR="00AB2499">
      <w:rPr>
        <w:noProof/>
      </w:rPr>
      <w:t>667</w:t>
    </w:r>
    <w:r>
      <w:fldChar w:fldCharType="end"/>
    </w:r>
  </w:p>
  <w:p w:rsidR="0069327D" w:rsidRDefault="0069327D">
    <w:pPr>
      <w:rPr>
        <w:sz w:val="24"/>
        <w:szCs w:val="2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fldChar w:fldCharType="begin"/>
    </w:r>
    <w:r>
      <w:instrText xml:space="preserve"> PAGE   \* MERGEFORMAT </w:instrText>
    </w:r>
    <w:r>
      <w:fldChar w:fldCharType="separate"/>
    </w:r>
    <w:r w:rsidR="00AB2499">
      <w:rPr>
        <w:noProof/>
      </w:rPr>
      <w:t>671</w:t>
    </w:r>
    <w:r>
      <w:fldChar w:fldCharType="end"/>
    </w:r>
  </w:p>
  <w:p w:rsidR="0069327D" w:rsidRDefault="0069327D">
    <w:pP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515836"/>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595</w:t>
        </w:r>
        <w:r>
          <w:fldChar w:fldCharType="end"/>
        </w:r>
      </w:p>
    </w:sdtContent>
  </w:sdt>
  <w:p w:rsidR="0069327D" w:rsidRPr="0069327D" w:rsidRDefault="0069327D" w:rsidP="0069327D">
    <w:pPr>
      <w:pStyle w:val="a5"/>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0B03FC" w:rsidRDefault="0069327D" w:rsidP="00743CE5">
    <w:r>
      <w:t>Примечания на страницах с 1</w:t>
    </w:r>
    <w:r w:rsidRPr="00356DC5">
      <w:t>2</w:t>
    </w:r>
    <w:r>
      <w:t xml:space="preserve"> по </w:t>
    </w:r>
    <w:r w:rsidRPr="00D21D02">
      <w:t>5</w:t>
    </w:r>
    <w:r w:rsidRPr="00356DC5">
      <w:t>5</w:t>
    </w:r>
    <w:r>
      <w:t xml:space="preserve"> составляют неотъемлемую часть данной отдельной финансовой отчетности.</w:t>
    </w:r>
  </w:p>
  <w:p w:rsidR="0069327D" w:rsidRDefault="0069327D">
    <w:pPr>
      <w:pStyle w:val="a5"/>
      <w:jc w:val="center"/>
    </w:pPr>
  </w:p>
  <w:p w:rsidR="0069327D" w:rsidRDefault="0069327D" w:rsidP="00A154DE">
    <w:pPr>
      <w:pStyle w:val="a5"/>
      <w:jc w:val="right"/>
    </w:pPr>
    <w:r>
      <w:fldChar w:fldCharType="begin"/>
    </w:r>
    <w:r>
      <w:instrText xml:space="preserve"> PAGE   \* MERGEFORMAT </w:instrText>
    </w:r>
    <w:r>
      <w:fldChar w:fldCharType="separate"/>
    </w:r>
    <w:r w:rsidR="00AB2499">
      <w:rPr>
        <w:noProof/>
      </w:rPr>
      <w:t>672</w:t>
    </w:r>
    <w:r>
      <w:fldChar w:fldCharType="end"/>
    </w:r>
  </w:p>
  <w:p w:rsidR="0069327D" w:rsidRDefault="0069327D">
    <w:pP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0B03FC" w:rsidRDefault="0069327D" w:rsidP="00743CE5">
    <w:r>
      <w:t>Примечания на страницах с 1</w:t>
    </w:r>
    <w:r w:rsidRPr="00356DC5">
      <w:t>2</w:t>
    </w:r>
    <w:r>
      <w:t xml:space="preserve"> по </w:t>
    </w:r>
    <w:r w:rsidRPr="00E05F2D">
      <w:t>5</w:t>
    </w:r>
    <w:r w:rsidRPr="00356DC5">
      <w:t>5</w:t>
    </w:r>
    <w:r>
      <w:t xml:space="preserve"> составляют неотъемлемую часть данной отдельной финансовой отчетности.</w:t>
    </w:r>
  </w:p>
  <w:p w:rsidR="0069327D" w:rsidRDefault="0069327D">
    <w:pPr>
      <w:pStyle w:val="a5"/>
      <w:jc w:val="center"/>
    </w:pPr>
  </w:p>
  <w:p w:rsidR="0069327D" w:rsidRDefault="0069327D" w:rsidP="00A154DE">
    <w:pPr>
      <w:pStyle w:val="a5"/>
      <w:jc w:val="right"/>
    </w:pPr>
    <w:r>
      <w:fldChar w:fldCharType="begin"/>
    </w:r>
    <w:r>
      <w:instrText xml:space="preserve"> PAGE   \* MERGEFORMAT </w:instrText>
    </w:r>
    <w:r>
      <w:fldChar w:fldCharType="separate"/>
    </w:r>
    <w:r w:rsidR="00AB2499">
      <w:rPr>
        <w:noProof/>
      </w:rPr>
      <w:t>674</w:t>
    </w:r>
    <w:r>
      <w:fldChar w:fldCharType="end"/>
    </w:r>
  </w:p>
  <w:p w:rsidR="0069327D" w:rsidRDefault="0069327D">
    <w:pP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743CE5">
    <w:pPr>
      <w:pStyle w:val="a5"/>
      <w:tabs>
        <w:tab w:val="clear" w:pos="9355"/>
        <w:tab w:val="right" w:pos="9345"/>
      </w:tabs>
    </w:pPr>
    <w:r>
      <w:t>Примечания на страницах с 1</w:t>
    </w:r>
    <w:r w:rsidRPr="00356DC5">
      <w:t>2</w:t>
    </w:r>
    <w:r>
      <w:t xml:space="preserve"> по </w:t>
    </w:r>
    <w:r w:rsidRPr="00E05F2D">
      <w:t>5</w:t>
    </w:r>
    <w:r w:rsidRPr="00356DC5">
      <w:t>5</w:t>
    </w:r>
    <w:r>
      <w:t xml:space="preserve"> составляют неотъемлемую часть данной отдельной финансовой отчетности.</w:t>
    </w:r>
  </w:p>
  <w:p w:rsidR="0069327D" w:rsidRDefault="0069327D">
    <w:pPr>
      <w:pStyle w:val="a5"/>
      <w:jc w:val="center"/>
    </w:pPr>
  </w:p>
  <w:p w:rsidR="0069327D" w:rsidRDefault="0069327D" w:rsidP="00A154DE">
    <w:pPr>
      <w:pStyle w:val="a5"/>
      <w:jc w:val="right"/>
    </w:pPr>
    <w:r>
      <w:fldChar w:fldCharType="begin"/>
    </w:r>
    <w:r>
      <w:instrText xml:space="preserve"> PAGE   \* MERGEFORMAT </w:instrText>
    </w:r>
    <w:r>
      <w:fldChar w:fldCharType="separate"/>
    </w:r>
    <w:r w:rsidR="00AB2499">
      <w:rPr>
        <w:noProof/>
      </w:rPr>
      <w:t>678</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86912" behindDoc="0" locked="0" layoutInCell="0" allowOverlap="1" wp14:anchorId="1D0B00D2" wp14:editId="4A2B379A">
              <wp:simplePos x="0" y="0"/>
              <wp:positionH relativeFrom="character">
                <wp:posOffset>-2599690</wp:posOffset>
              </wp:positionH>
              <wp:positionV relativeFrom="paragraph">
                <wp:posOffset>-22861</wp:posOffset>
              </wp:positionV>
              <wp:extent cx="5943600" cy="0"/>
              <wp:effectExtent l="0" t="0" r="1905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8691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04.7pt,-1.8pt" to="26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" o:allowincell="f" strokeweight="1pt"/>
          </w:pict>
        </mc:Fallback>
      </mc:AlternateContent>
    </w:r>
    <w:r>
      <w:fldChar w:fldCharType="begin"/>
    </w:r>
    <w:r>
      <w:instrText xml:space="preserve"> PAGE   \* MERGEFORMAT </w:instrText>
    </w:r>
    <w:r>
      <w:fldChar w:fldCharType="separate"/>
    </w:r>
    <w:r w:rsidR="00AB2499">
      <w:rPr>
        <w:noProof/>
      </w:rPr>
      <w:t>704</w:t>
    </w:r>
    <w:r>
      <w:fldChar w:fldCharType="end"/>
    </w:r>
  </w:p>
  <w:p w:rsidR="0069327D" w:rsidRDefault="0069327D">
    <w:pPr>
      <w:rPr>
        <w:sz w:val="24"/>
        <w:szCs w:val="24"/>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87936" behindDoc="0" locked="0" layoutInCell="0" allowOverlap="1" wp14:anchorId="5DF6B1F5" wp14:editId="5C15FE6F">
              <wp:simplePos x="0" y="0"/>
              <wp:positionH relativeFrom="character">
                <wp:posOffset>-2785745</wp:posOffset>
              </wp:positionH>
              <wp:positionV relativeFrom="paragraph">
                <wp:posOffset>15239</wp:posOffset>
              </wp:positionV>
              <wp:extent cx="5943600" cy="0"/>
              <wp:effectExtent l="0" t="0" r="19050"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8793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19.35pt,1.2pt" to="248.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" o:allowincell="f" strokeweight="1pt"/>
          </w:pict>
        </mc:Fallback>
      </mc:AlternateContent>
    </w:r>
    <w:r>
      <w:fldChar w:fldCharType="begin"/>
    </w:r>
    <w:r>
      <w:instrText xml:space="preserve"> PAGE   \* MERGEFORMAT </w:instrText>
    </w:r>
    <w:r>
      <w:fldChar w:fldCharType="separate"/>
    </w:r>
    <w:r w:rsidR="00AB2499">
      <w:rPr>
        <w:noProof/>
      </w:rPr>
      <w:t>705</w:t>
    </w:r>
    <w:r>
      <w:fldChar w:fldCharType="end"/>
    </w:r>
  </w:p>
  <w:p w:rsidR="0069327D" w:rsidRDefault="0069327D">
    <w:pPr>
      <w:rPr>
        <w:sz w:val="24"/>
        <w:szCs w:val="2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88960" behindDoc="0" locked="0" layoutInCell="0" allowOverlap="1" wp14:anchorId="44BE498E" wp14:editId="5318A646">
              <wp:simplePos x="0" y="0"/>
              <wp:positionH relativeFrom="character">
                <wp:posOffset>-2818765</wp:posOffset>
              </wp:positionH>
              <wp:positionV relativeFrom="paragraph">
                <wp:posOffset>-13336</wp:posOffset>
              </wp:positionV>
              <wp:extent cx="5943600" cy="0"/>
              <wp:effectExtent l="0" t="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896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21.95pt,-1.05pt" to="24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" o:allowincell="f" strokeweight="1pt"/>
          </w:pict>
        </mc:Fallback>
      </mc:AlternateContent>
    </w:r>
    <w:r>
      <w:fldChar w:fldCharType="begin"/>
    </w:r>
    <w:r>
      <w:instrText xml:space="preserve"> PAGE   \* MERGEFORMAT </w:instrText>
    </w:r>
    <w:r>
      <w:fldChar w:fldCharType="separate"/>
    </w:r>
    <w:r w:rsidR="00AB2499">
      <w:rPr>
        <w:noProof/>
      </w:rPr>
      <w:t>717</w:t>
    </w:r>
    <w:r>
      <w:fldChar w:fldCharType="end"/>
    </w:r>
  </w:p>
  <w:p w:rsidR="0069327D" w:rsidRDefault="0069327D">
    <w:pPr>
      <w:rPr>
        <w:sz w:val="24"/>
        <w:szCs w:val="24"/>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89984" behindDoc="0" locked="0" layoutInCell="0" allowOverlap="1" wp14:anchorId="114B39D2" wp14:editId="0DF5F7FF">
              <wp:simplePos x="0" y="0"/>
              <wp:positionH relativeFrom="character">
                <wp:posOffset>-2904490</wp:posOffset>
              </wp:positionH>
              <wp:positionV relativeFrom="paragraph">
                <wp:posOffset>-3811</wp:posOffset>
              </wp:positionV>
              <wp:extent cx="5943600" cy="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998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28.7pt,-.3pt" to="23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" o:allowincell="f" strokeweight="1pt"/>
          </w:pict>
        </mc:Fallback>
      </mc:AlternateContent>
    </w:r>
    <w:r>
      <w:fldChar w:fldCharType="begin"/>
    </w:r>
    <w:r>
      <w:instrText xml:space="preserve"> PAGE   \* MERGEFORMAT </w:instrText>
    </w:r>
    <w:r>
      <w:fldChar w:fldCharType="separate"/>
    </w:r>
    <w:r w:rsidR="00AB2499">
      <w:rPr>
        <w:noProof/>
      </w:rPr>
      <w:t>724</w:t>
    </w:r>
    <w:r>
      <w:fldChar w:fldCharType="end"/>
    </w:r>
  </w:p>
  <w:p w:rsidR="0069327D" w:rsidRDefault="0069327D">
    <w:pPr>
      <w:rPr>
        <w:sz w:val="24"/>
        <w:szCs w:val="24"/>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91008" behindDoc="0" locked="0" layoutInCell="0" allowOverlap="1" wp14:anchorId="54C4771A" wp14:editId="1019FF75">
              <wp:simplePos x="0" y="0"/>
              <wp:positionH relativeFrom="character">
                <wp:posOffset>-2828290</wp:posOffset>
              </wp:positionH>
              <wp:positionV relativeFrom="paragraph">
                <wp:posOffset>5714</wp:posOffset>
              </wp:positionV>
              <wp:extent cx="5943600" cy="0"/>
              <wp:effectExtent l="0" t="0" r="19050" b="190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9100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22.7pt,.45pt" to="24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" o:allowincell="f" strokeweight="1pt"/>
          </w:pict>
        </mc:Fallback>
      </mc:AlternateContent>
    </w:r>
    <w:r>
      <w:fldChar w:fldCharType="begin"/>
    </w:r>
    <w:r>
      <w:instrText xml:space="preserve"> PAGE   \* MERGEFORMAT </w:instrText>
    </w:r>
    <w:r>
      <w:fldChar w:fldCharType="separate"/>
    </w:r>
    <w:r w:rsidR="00AB2499">
      <w:rPr>
        <w:noProof/>
      </w:rPr>
      <w:t>727</w:t>
    </w:r>
    <w:r>
      <w:fldChar w:fldCharType="end"/>
    </w:r>
  </w:p>
  <w:p w:rsidR="0069327D" w:rsidRDefault="0069327D">
    <w:pPr>
      <w:rPr>
        <w:sz w:val="24"/>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A154DE">
    <w:pPr>
      <w:pStyle w:val="a5"/>
      <w:jc w:val="right"/>
    </w:pPr>
    <w:r>
      <w:rPr>
        <w:noProof/>
        <w:lang w:bidi="ar-SA"/>
      </w:rPr>
      <mc:AlternateContent>
        <mc:Choice Requires="wps">
          <w:drawing>
            <wp:anchor distT="4294967295" distB="4294967295" distL="114300" distR="114300" simplePos="0" relativeHeight="251692032" behindDoc="0" locked="0" layoutInCell="0" allowOverlap="1" wp14:anchorId="48370FC2" wp14:editId="03644F23">
              <wp:simplePos x="0" y="0"/>
              <wp:positionH relativeFrom="character">
                <wp:posOffset>-3028315</wp:posOffset>
              </wp:positionH>
              <wp:positionV relativeFrom="paragraph">
                <wp:posOffset>15239</wp:posOffset>
              </wp:positionV>
              <wp:extent cx="5943600" cy="0"/>
              <wp:effectExtent l="0" t="0" r="19050" b="190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9203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238.45pt,1.2pt" to="229.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" o:allowincell="f" strokeweight="1pt"/>
          </w:pict>
        </mc:Fallback>
      </mc:AlternateContent>
    </w:r>
    <w:r>
      <w:fldChar w:fldCharType="begin"/>
    </w:r>
    <w:r>
      <w:instrText xml:space="preserve"> PAGE   \* MERGEFORMAT </w:instrText>
    </w:r>
    <w:r>
      <w:fldChar w:fldCharType="separate"/>
    </w:r>
    <w:r w:rsidR="00AB2499">
      <w:rPr>
        <w:noProof/>
      </w:rPr>
      <w:t>734</w:t>
    </w:r>
    <w:r>
      <w:fldChar w:fldCharType="end"/>
    </w:r>
  </w:p>
  <w:p w:rsidR="0069327D" w:rsidRDefault="0069327D">
    <w:pPr>
      <w:rPr>
        <w:sz w:val="24"/>
        <w:szCs w:val="24"/>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480356"/>
      <w:docPartObj>
        <w:docPartGallery w:val="Page Numbers (Bottom of Page)"/>
        <w:docPartUnique/>
      </w:docPartObj>
    </w:sdtPr>
    <w:sdtContent>
      <w:p w:rsidR="00A154DE" w:rsidRDefault="00A154DE">
        <w:pPr>
          <w:pStyle w:val="a5"/>
          <w:jc w:val="right"/>
        </w:pPr>
        <w:r>
          <w:fldChar w:fldCharType="begin"/>
        </w:r>
        <w:r>
          <w:instrText>PAGE   \* MERGEFORMAT</w:instrText>
        </w:r>
        <w:r>
          <w:fldChar w:fldCharType="separate"/>
        </w:r>
        <w:r w:rsidR="00AB2499">
          <w:rPr>
            <w:noProof/>
          </w:rPr>
          <w:t>735</w:t>
        </w:r>
        <w:r>
          <w:fldChar w:fldCharType="end"/>
        </w:r>
      </w:p>
    </w:sdtContent>
  </w:sdt>
  <w:p w:rsidR="0069327D" w:rsidRDefault="0069327D">
    <w:pPr>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415734"/>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597</w:t>
        </w:r>
        <w:r>
          <w:fldChar w:fldCharType="end"/>
        </w:r>
      </w:p>
    </w:sdtContent>
  </w:sdt>
  <w:p w:rsidR="0069327D" w:rsidRDefault="0069327D">
    <w:pPr>
      <w:rPr>
        <w:sz w:val="24"/>
        <w:szCs w:val="24"/>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736</w:t>
    </w:r>
    <w:r>
      <w:fldChar w:fldCharType="end"/>
    </w:r>
  </w:p>
  <w:p w:rsidR="0069327D" w:rsidRDefault="0069327D">
    <w:pPr>
      <w:rPr>
        <w:sz w:val="24"/>
        <w:szCs w:val="24"/>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738</w:t>
    </w:r>
    <w:r>
      <w:fldChar w:fldCharType="end"/>
    </w:r>
  </w:p>
  <w:p w:rsidR="0069327D" w:rsidRDefault="0069327D">
    <w:pPr>
      <w:rPr>
        <w:sz w:val="24"/>
        <w:szCs w:val="24"/>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A154DE" w:rsidP="00A154DE">
    <w:pPr>
      <w:jc w:val="right"/>
    </w:pPr>
    <w:r>
      <w:fldChar w:fldCharType="begin"/>
    </w:r>
    <w:r>
      <w:instrText>PAGE   \* MERGEFORMAT</w:instrText>
    </w:r>
    <w:r>
      <w:fldChar w:fldCharType="separate"/>
    </w:r>
    <w:r w:rsidR="00AB2499">
      <w:rPr>
        <w:noProof/>
      </w:rPr>
      <w:t>739</w:t>
    </w:r>
    <w:r>
      <w:fldChar w:fldCharType="end"/>
    </w:r>
  </w:p>
  <w:p w:rsidR="0069327D" w:rsidRDefault="0069327D">
    <w:pPr>
      <w:rPr>
        <w:sz w:val="24"/>
        <w:szCs w:val="24"/>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A154DE" w:rsidP="00A154DE">
    <w:pPr>
      <w:jc w:val="right"/>
    </w:pPr>
    <w:r>
      <w:fldChar w:fldCharType="begin"/>
    </w:r>
    <w:r>
      <w:instrText>PAGE   \* MERGEFORMAT</w:instrText>
    </w:r>
    <w:r>
      <w:fldChar w:fldCharType="separate"/>
    </w:r>
    <w:r w:rsidR="00AB2499">
      <w:rPr>
        <w:noProof/>
      </w:rPr>
      <w:t>742</w:t>
    </w:r>
    <w:r>
      <w:fldChar w:fldCharType="end"/>
    </w:r>
  </w:p>
  <w:p w:rsidR="0069327D" w:rsidRDefault="0069327D">
    <w:pPr>
      <w:rPr>
        <w:sz w:val="24"/>
        <w:szCs w:val="24"/>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9327D">
    <w:r>
      <w:t xml:space="preserve">Примечания на страницах с 11 </w:t>
    </w:r>
    <w:proofErr w:type="gramStart"/>
    <w:r>
      <w:t>по __ составляют</w:t>
    </w:r>
    <w:proofErr w:type="gramEnd"/>
    <w:r>
      <w:t xml:space="preserve"> неотъемлемую часть данной финансовой отчетности.</w:t>
    </w:r>
  </w:p>
  <w:p w:rsidR="0069327D" w:rsidRDefault="0069327D"/>
  <w:p w:rsidR="0069327D" w:rsidRDefault="00A154DE" w:rsidP="00A154DE">
    <w:pPr>
      <w:jc w:val="right"/>
    </w:pPr>
    <w:r>
      <w:fldChar w:fldCharType="begin"/>
    </w:r>
    <w:r>
      <w:instrText>PAGE   \* MERGEFORMAT</w:instrText>
    </w:r>
    <w:r>
      <w:fldChar w:fldCharType="separate"/>
    </w:r>
    <w:r w:rsidR="00AB2499">
      <w:rPr>
        <w:noProof/>
      </w:rPr>
      <w:t>743</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9327D">
    <w:r>
      <w:t xml:space="preserve">Примечания на страницах с 11 </w:t>
    </w:r>
    <w:proofErr w:type="gramStart"/>
    <w:r>
      <w:t>по __ составляют</w:t>
    </w:r>
    <w:proofErr w:type="gramEnd"/>
    <w:r>
      <w:t xml:space="preserve"> неотъемлемую часть данной финансовой отчетности.</w:t>
    </w:r>
  </w:p>
  <w:p w:rsidR="0069327D" w:rsidRDefault="0069327D"/>
  <w:p w:rsidR="0069327D" w:rsidRDefault="00A154DE" w:rsidP="00A154DE">
    <w:pPr>
      <w:jc w:val="right"/>
    </w:pPr>
    <w:r>
      <w:fldChar w:fldCharType="begin"/>
    </w:r>
    <w:r>
      <w:instrText>PAGE   \* MERGEFORMAT</w:instrText>
    </w:r>
    <w:r>
      <w:fldChar w:fldCharType="separate"/>
    </w:r>
    <w:r w:rsidR="00AB2499">
      <w:rPr>
        <w:noProof/>
      </w:rPr>
      <w:t>744</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9327D">
    <w:r>
      <w:t xml:space="preserve">Примечания на страницах с 11 </w:t>
    </w:r>
    <w:proofErr w:type="gramStart"/>
    <w:r>
      <w:t>по __ составляют</w:t>
    </w:r>
    <w:proofErr w:type="gramEnd"/>
    <w:r>
      <w:t xml:space="preserve"> неотъемлемую часть данной финансовой отчетности.</w:t>
    </w:r>
  </w:p>
  <w:p w:rsidR="0069327D" w:rsidRDefault="0069327D"/>
  <w:p w:rsidR="0069327D" w:rsidRDefault="00A154DE" w:rsidP="00A154DE">
    <w:pPr>
      <w:jc w:val="right"/>
    </w:pPr>
    <w:r>
      <w:fldChar w:fldCharType="begin"/>
    </w:r>
    <w:r>
      <w:instrText>PAGE   \* MERGEFORMAT</w:instrText>
    </w:r>
    <w:r>
      <w:fldChar w:fldCharType="separate"/>
    </w:r>
    <w:r w:rsidR="00AB2499">
      <w:rPr>
        <w:noProof/>
      </w:rPr>
      <w:t>745</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9327D">
    <w:r>
      <w:t xml:space="preserve">Примечания на страницах с 11 </w:t>
    </w:r>
    <w:proofErr w:type="gramStart"/>
    <w:r>
      <w:t>по __ составляют</w:t>
    </w:r>
    <w:proofErr w:type="gramEnd"/>
    <w:r>
      <w:t xml:space="preserve"> неотъемлемую часть данной финансовой отчетности.</w:t>
    </w:r>
  </w:p>
  <w:p w:rsidR="0069327D" w:rsidRDefault="0069327D"/>
  <w:p w:rsidR="0069327D" w:rsidRDefault="00A154DE" w:rsidP="00A154DE">
    <w:pPr>
      <w:jc w:val="right"/>
    </w:pPr>
    <w:r>
      <w:fldChar w:fldCharType="begin"/>
    </w:r>
    <w:r>
      <w:instrText>PAGE   \* MERGEFORMAT</w:instrText>
    </w:r>
    <w:r>
      <w:fldChar w:fldCharType="separate"/>
    </w:r>
    <w:r w:rsidR="00AB2499">
      <w:rPr>
        <w:noProof/>
      </w:rPr>
      <w:t>749</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751</w:t>
    </w:r>
    <w:r>
      <w:fldChar w:fldCharType="end"/>
    </w:r>
  </w:p>
  <w:p w:rsidR="0069327D" w:rsidRDefault="0069327D">
    <w:pPr>
      <w:rPr>
        <w:sz w:val="24"/>
        <w:szCs w:val="24"/>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702272" behindDoc="0" locked="1" layoutInCell="0" allowOverlap="1" wp14:anchorId="4882DE74" wp14:editId="5F9CF5C2">
              <wp:simplePos x="0" y="0"/>
              <wp:positionH relativeFrom="character">
                <wp:posOffset>0</wp:posOffset>
              </wp:positionH>
              <wp:positionV relativeFrom="paragraph">
                <wp:posOffset>57149</wp:posOffset>
              </wp:positionV>
              <wp:extent cx="5938520" cy="0"/>
              <wp:effectExtent l="0" t="0" r="24130"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0227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6M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vGoi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CUQC6M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rPr>
        <w:sz w:val="24"/>
        <w:szCs w:val="24"/>
      </w:rPr>
    </w:pPr>
    <w:r w:rsidRPr="00A154DE">
      <w:rPr>
        <w:sz w:val="24"/>
        <w:szCs w:val="24"/>
      </w:rPr>
      <w:fldChar w:fldCharType="begin"/>
    </w:r>
    <w:r w:rsidRPr="00A154DE">
      <w:rPr>
        <w:sz w:val="24"/>
        <w:szCs w:val="24"/>
      </w:rPr>
      <w:instrText>PAGE   \* MERGEFORMAT</w:instrText>
    </w:r>
    <w:r w:rsidRPr="00A154DE">
      <w:rPr>
        <w:sz w:val="24"/>
        <w:szCs w:val="24"/>
      </w:rPr>
      <w:fldChar w:fldCharType="separate"/>
    </w:r>
    <w:r w:rsidR="00AB2499">
      <w:rPr>
        <w:noProof/>
        <w:sz w:val="24"/>
        <w:szCs w:val="24"/>
      </w:rPr>
      <w:t>753</w:t>
    </w:r>
    <w:r w:rsidRPr="00A154DE">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491221"/>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598</w:t>
        </w:r>
        <w:r>
          <w:fldChar w:fldCharType="end"/>
        </w:r>
      </w:p>
    </w:sdtContent>
  </w:sdt>
  <w:p w:rsidR="0069327D" w:rsidRDefault="0069327D">
    <w:pPr>
      <w:rPr>
        <w:sz w:val="24"/>
        <w:szCs w:val="24"/>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
      <w:rPr>
        <w:noProof/>
        <w:lang w:eastAsia="ru-RU"/>
      </w:rPr>
      <mc:AlternateContent>
        <mc:Choice Requires="wps">
          <w:drawing>
            <wp:anchor distT="4294967295" distB="4294967295" distL="114300" distR="114300" simplePos="0" relativeHeight="251703296" behindDoc="0" locked="1" layoutInCell="0" allowOverlap="1" wp14:anchorId="05790569" wp14:editId="0ED14964">
              <wp:simplePos x="0" y="0"/>
              <wp:positionH relativeFrom="character">
                <wp:posOffset>0</wp:posOffset>
              </wp:positionH>
              <wp:positionV relativeFrom="paragraph">
                <wp:posOffset>57149</wp:posOffset>
              </wp:positionV>
              <wp:extent cx="5938520" cy="0"/>
              <wp:effectExtent l="0" t="0" r="24130" b="190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0329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4.5pt" to="46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70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vGog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" o:allowincell="f" strokeweight="1pt">
              <w10:anchorlock/>
            </v:line>
          </w:pict>
        </mc:Fallback>
      </mc:AlternateContent>
    </w:r>
  </w:p>
  <w:p w:rsidR="0069327D" w:rsidRDefault="00A154DE" w:rsidP="00A154DE">
    <w:pPr>
      <w:jc w:val="right"/>
      <w:rPr>
        <w:sz w:val="24"/>
        <w:szCs w:val="24"/>
      </w:rPr>
    </w:pPr>
    <w:r w:rsidRPr="00A154DE">
      <w:rPr>
        <w:sz w:val="24"/>
        <w:szCs w:val="24"/>
      </w:rPr>
      <w:fldChar w:fldCharType="begin"/>
    </w:r>
    <w:r w:rsidRPr="00A154DE">
      <w:rPr>
        <w:sz w:val="24"/>
        <w:szCs w:val="24"/>
      </w:rPr>
      <w:instrText>PAGE   \* MERGEFORMAT</w:instrText>
    </w:r>
    <w:r w:rsidRPr="00A154DE">
      <w:rPr>
        <w:sz w:val="24"/>
        <w:szCs w:val="24"/>
      </w:rPr>
      <w:fldChar w:fldCharType="separate"/>
    </w:r>
    <w:r w:rsidR="00AB2499">
      <w:rPr>
        <w:noProof/>
        <w:sz w:val="24"/>
        <w:szCs w:val="24"/>
      </w:rPr>
      <w:t>754</w:t>
    </w:r>
    <w:r w:rsidRPr="00A154DE">
      <w:rPr>
        <w:sz w:val="24"/>
        <w:szCs w:val="24"/>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756</w:t>
    </w:r>
    <w:r>
      <w:fldChar w:fldCharType="end"/>
    </w:r>
  </w:p>
  <w:p w:rsidR="0069327D" w:rsidRDefault="0069327D">
    <w:pPr>
      <w:rPr>
        <w:sz w:val="24"/>
        <w:szCs w:val="24"/>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A154DE" w:rsidP="00A154DE">
    <w:pPr>
      <w:jc w:val="right"/>
    </w:pPr>
    <w:r>
      <w:fldChar w:fldCharType="begin"/>
    </w:r>
    <w:r>
      <w:instrText>PAGE   \* MERGEFORMAT</w:instrText>
    </w:r>
    <w:r>
      <w:fldChar w:fldCharType="separate"/>
    </w:r>
    <w:r w:rsidR="00AB2499">
      <w:rPr>
        <w:noProof/>
      </w:rPr>
      <w:t>759</w:t>
    </w:r>
    <w:r>
      <w:fldChar w:fldCharType="end"/>
    </w:r>
  </w:p>
  <w:p w:rsidR="0069327D" w:rsidRDefault="0069327D">
    <w:pPr>
      <w:rPr>
        <w:sz w:val="24"/>
        <w:szCs w:val="24"/>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 w:rsidR="0069327D" w:rsidRDefault="006609D2" w:rsidP="006609D2">
    <w:pPr>
      <w:jc w:val="right"/>
    </w:pPr>
    <w:r>
      <w:fldChar w:fldCharType="begin"/>
    </w:r>
    <w:r>
      <w:instrText>PAGE   \* MERGEFORMAT</w:instrText>
    </w:r>
    <w:r>
      <w:fldChar w:fldCharType="separate"/>
    </w:r>
    <w:r w:rsidR="00AB2499">
      <w:rPr>
        <w:noProof/>
      </w:rPr>
      <w:t>794</w:t>
    </w:r>
    <w:r>
      <w:fldChar w:fldCharType="end"/>
    </w:r>
  </w:p>
  <w:p w:rsidR="0069327D" w:rsidRDefault="0069327D">
    <w:pP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593776"/>
      <w:docPartObj>
        <w:docPartGallery w:val="Page Numbers (Bottom of Page)"/>
        <w:docPartUnique/>
      </w:docPartObj>
    </w:sdtPr>
    <w:sdtContent>
      <w:p w:rsidR="0069327D" w:rsidRDefault="0069327D">
        <w:pPr>
          <w:pStyle w:val="a5"/>
          <w:jc w:val="right"/>
        </w:pPr>
        <w:r>
          <w:fldChar w:fldCharType="begin"/>
        </w:r>
        <w:r>
          <w:instrText>PAGE   \* MERGEFORMAT</w:instrText>
        </w:r>
        <w:r>
          <w:fldChar w:fldCharType="separate"/>
        </w:r>
        <w:r w:rsidR="00AB2499">
          <w:rPr>
            <w:noProof/>
          </w:rPr>
          <w:t>601</w:t>
        </w:r>
        <w:r>
          <w:fldChar w:fldCharType="end"/>
        </w:r>
      </w:p>
    </w:sdtContent>
  </w:sdt>
  <w:p w:rsidR="0069327D" w:rsidRDefault="0069327D">
    <w:pPr>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69327D">
    <w:pPr>
      <w:jc w:val="right"/>
    </w:pPr>
    <w:r>
      <w:fldChar w:fldCharType="begin"/>
    </w:r>
    <w:r>
      <w:instrText>PAGE   \* MERGEFORMAT</w:instrText>
    </w:r>
    <w:r>
      <w:fldChar w:fldCharType="separate"/>
    </w:r>
    <w:r w:rsidR="00AB2499">
      <w:rPr>
        <w:noProof/>
      </w:rPr>
      <w:t>602</w:t>
    </w:r>
    <w:r>
      <w:fldChar w:fldCharType="end"/>
    </w:r>
  </w:p>
  <w:p w:rsidR="0069327D" w:rsidRPr="005542D0" w:rsidRDefault="0069327D">
    <w:r>
      <w:t xml:space="preserve">Примечания на страницах с 11 по </w:t>
    </w:r>
    <w:r w:rsidRPr="00EC5623">
      <w:t>45</w:t>
    </w:r>
    <w:r>
      <w:t xml:space="preserve"> составляют неотъемлемую часть данной финансовой отчетности.</w:t>
    </w:r>
  </w:p>
  <w:p w:rsidR="0069327D" w:rsidRPr="005542D0" w:rsidRDefault="0069327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69327D">
    <w:pPr>
      <w:jc w:val="right"/>
    </w:pPr>
    <w:r>
      <w:fldChar w:fldCharType="begin"/>
    </w:r>
    <w:r>
      <w:instrText>PAGE   \* MERGEFORMAT</w:instrText>
    </w:r>
    <w:r>
      <w:fldChar w:fldCharType="separate"/>
    </w:r>
    <w:r w:rsidR="00AB2499">
      <w:rPr>
        <w:noProof/>
      </w:rPr>
      <w:t>604</w:t>
    </w:r>
    <w:r>
      <w:fldChar w:fldCharType="end"/>
    </w:r>
  </w:p>
  <w:p w:rsidR="0069327D" w:rsidRPr="005542D0" w:rsidRDefault="0069327D">
    <w:r>
      <w:t xml:space="preserve">Примечания на страницах с 11 по </w:t>
    </w:r>
    <w:r w:rsidRPr="00940E88">
      <w:t xml:space="preserve">45 </w:t>
    </w:r>
    <w:r>
      <w:t>составляют неотъемлемую часть данной финансовой отчетности.</w:t>
    </w:r>
  </w:p>
  <w:p w:rsidR="0069327D" w:rsidRPr="005542D0" w:rsidRDefault="0069327D"/>
  <w:p w:rsidR="0069327D" w:rsidRDefault="0069327D">
    <w:pPr>
      <w:jc w:val="center"/>
    </w:pPr>
    <w: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69327D">
    <w:pPr>
      <w:jc w:val="right"/>
    </w:pPr>
    <w:r>
      <w:fldChar w:fldCharType="begin"/>
    </w:r>
    <w:r>
      <w:instrText>PAGE   \* MERGEFORMAT</w:instrText>
    </w:r>
    <w:r>
      <w:fldChar w:fldCharType="separate"/>
    </w:r>
    <w:r w:rsidR="00AB2499">
      <w:rPr>
        <w:noProof/>
      </w:rPr>
      <w:t>605</w:t>
    </w:r>
    <w:r>
      <w:fldChar w:fldCharType="end"/>
    </w:r>
  </w:p>
  <w:p w:rsidR="0069327D" w:rsidRPr="005542D0" w:rsidRDefault="0069327D">
    <w:r>
      <w:t xml:space="preserve">Примечания на страницах с 11 по </w:t>
    </w:r>
    <w:r w:rsidRPr="00940E88">
      <w:t>45</w:t>
    </w:r>
    <w:r>
      <w:t xml:space="preserve"> составляют неотъемлемую часть данной финансовой отчетности.</w:t>
    </w:r>
  </w:p>
  <w:p w:rsidR="0069327D" w:rsidRPr="005542D0" w:rsidRDefault="0069327D"/>
  <w:p w:rsidR="0069327D" w:rsidRDefault="0069327D">
    <w:pPr>
      <w:jc w:val="center"/>
    </w:pPr>
    <w: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27D" w:rsidRDefault="0069327D" w:rsidP="0073427F">
      <w:pPr>
        <w:spacing w:after="0" w:line="240" w:lineRule="auto"/>
      </w:pPr>
      <w:r>
        <w:separator/>
      </w:r>
    </w:p>
  </w:footnote>
  <w:footnote w:type="continuationSeparator" w:id="0">
    <w:p w:rsidR="0069327D" w:rsidRDefault="0069327D" w:rsidP="00734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5542D0" w:rsidRDefault="0069327D">
    <w:pPr>
      <w:pStyle w:val="Headingline1"/>
    </w:pPr>
    <w:r>
      <w:t>O1 PROPERTIES LIMITED</w:t>
    </w:r>
  </w:p>
  <w:p w:rsidR="0069327D" w:rsidRPr="005542D0" w:rsidRDefault="0069327D">
    <w:pPr>
      <w:pStyle w:val="Headingline1"/>
    </w:pPr>
  </w:p>
  <w:p w:rsidR="0069327D" w:rsidRPr="005542D0" w:rsidRDefault="0069327D">
    <w:pPr>
      <w:pStyle w:val="Headingline2"/>
    </w:pPr>
    <w:r>
      <w:t>ПРИМЕЧАНИЯ К ФИНАНСОВОЙ ОТЧЕТНОСТИ</w:t>
    </w:r>
  </w:p>
  <w:p w:rsidR="0069327D" w:rsidRPr="005542D0" w:rsidRDefault="0069327D">
    <w:pPr>
      <w:pStyle w:val="Headingline3"/>
    </w:pPr>
    <w:r>
      <w:t>За год, закончившийся 31 декабря 2012 г.</w:t>
    </w:r>
  </w:p>
  <w:p w:rsidR="0069327D" w:rsidRPr="005542D0" w:rsidRDefault="0069327D">
    <w:pPr>
      <w:rPr>
        <w:sz w:val="24"/>
        <w:szCs w:val="24"/>
      </w:rPr>
    </w:pPr>
  </w:p>
  <w:p w:rsidR="0069327D" w:rsidRPr="005542D0" w:rsidRDefault="0069327D">
    <w:pPr>
      <w:rPr>
        <w:b/>
        <w:bCs/>
      </w:rPr>
    </w:pPr>
    <w:r>
      <w:rPr>
        <w:b/>
      </w:rPr>
      <w:t>2. Учетная политика (продолжение)</w:t>
    </w:r>
  </w:p>
  <w:p w:rsidR="0069327D" w:rsidRPr="005542D0" w:rsidRDefault="0069327D">
    <w:pPr>
      <w:pStyle w:val="HeadingPolicy"/>
    </w:pPr>
  </w:p>
  <w:p w:rsidR="0069327D" w:rsidRPr="005542D0" w:rsidRDefault="0069327D">
    <w:pPr>
      <w:pStyle w:val="Headerpolicy"/>
    </w:pPr>
    <w:r>
      <w:t>Применение новых или пересмотренных стандартов и разъяснений (продолжение)</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5542D0" w:rsidRDefault="0069327D">
    <w:pPr>
      <w:pStyle w:val="Headingline1"/>
    </w:pPr>
    <w:r>
      <w:t>O1 PROPERTIES LIMITED</w:t>
    </w:r>
  </w:p>
  <w:p w:rsidR="0069327D" w:rsidRPr="005542D0" w:rsidRDefault="0069327D">
    <w:pPr>
      <w:pStyle w:val="Headingline1"/>
    </w:pPr>
  </w:p>
  <w:p w:rsidR="0069327D" w:rsidRPr="005542D0" w:rsidRDefault="0069327D">
    <w:pPr>
      <w:pStyle w:val="Headingline2"/>
    </w:pPr>
    <w:r>
      <w:t>ПРИМЕЧАНИЯ К ФИНАНСОВОЙ ОТЧЕТНОСТИ</w:t>
    </w:r>
  </w:p>
  <w:p w:rsidR="0069327D" w:rsidRPr="005542D0" w:rsidRDefault="0069327D">
    <w:pPr>
      <w:pStyle w:val="Headingline3"/>
    </w:pPr>
    <w:r>
      <w:t>За год, закончившийся 31 декабря 2012 г.</w:t>
    </w:r>
  </w:p>
  <w:p w:rsidR="0069327D" w:rsidRPr="005542D0" w:rsidRDefault="0069327D">
    <w:pPr>
      <w:rPr>
        <w:sz w:val="24"/>
        <w:szCs w:val="24"/>
      </w:rPr>
    </w:pPr>
  </w:p>
  <w:p w:rsidR="0069327D" w:rsidRPr="005542D0" w:rsidRDefault="0069327D">
    <w:pPr>
      <w:rPr>
        <w:b/>
        <w:bCs/>
      </w:rPr>
    </w:pPr>
    <w:r>
      <w:rPr>
        <w:b/>
      </w:rPr>
      <w:t>2. Учетная политика (продолжение)</w:t>
    </w:r>
  </w:p>
  <w:p w:rsidR="0069327D" w:rsidRPr="005542D0" w:rsidRDefault="0069327D">
    <w:pPr>
      <w:pStyle w:val="HeadingPolicy"/>
    </w:pPr>
  </w:p>
  <w:p w:rsidR="0069327D" w:rsidRPr="005542D0" w:rsidRDefault="0069327D">
    <w:pPr>
      <w:pStyle w:val="Headerpolicy"/>
    </w:pPr>
    <w:r>
      <w:t>Применение новых или пересмотренных стандартов и разъяснений (продолжение)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5542D0" w:rsidRDefault="0069327D">
    <w:pPr>
      <w:pStyle w:val="Headingline1"/>
    </w:pPr>
    <w:r>
      <w:t>O1 PROPERTIES LIMITED</w:t>
    </w:r>
  </w:p>
  <w:p w:rsidR="0069327D" w:rsidRPr="005542D0" w:rsidRDefault="0069327D">
    <w:pPr>
      <w:pStyle w:val="Headingline1"/>
    </w:pPr>
  </w:p>
  <w:p w:rsidR="0069327D" w:rsidRPr="005542D0" w:rsidRDefault="0069327D">
    <w:pPr>
      <w:pStyle w:val="Headingline2"/>
    </w:pPr>
    <w:r>
      <w:t>ПРИМЕЧАНИЯ К ФИНАНСОВОЙ ОТЧЕТНОСТИ</w:t>
    </w:r>
  </w:p>
  <w:p w:rsidR="0069327D" w:rsidRPr="005542D0" w:rsidRDefault="0069327D">
    <w:pPr>
      <w:pStyle w:val="Headingline3"/>
    </w:pPr>
    <w:r>
      <w:t>За год, закончившийся 31 декабря 2012 г.</w:t>
    </w:r>
  </w:p>
  <w:p w:rsidR="0069327D" w:rsidRPr="005542D0" w:rsidRDefault="0069327D">
    <w:pPr>
      <w:rPr>
        <w:sz w:val="24"/>
        <w:szCs w:val="24"/>
      </w:rPr>
    </w:pPr>
  </w:p>
  <w:p w:rsidR="0069327D" w:rsidRPr="005542D0" w:rsidRDefault="0069327D">
    <w:pPr>
      <w:rPr>
        <w:b/>
        <w:bCs/>
      </w:rPr>
    </w:pPr>
    <w:r>
      <w:rPr>
        <w:b/>
      </w:rPr>
      <w:t>2. Учетная политика (продолжение)</w:t>
    </w:r>
  </w:p>
  <w:p w:rsidR="0069327D" w:rsidRPr="005542D0" w:rsidRDefault="0069327D">
    <w:pPr>
      <w:pStyle w:val="HeadingPolicy"/>
    </w:pPr>
  </w:p>
  <w:p w:rsidR="0069327D" w:rsidRPr="005542D0" w:rsidRDefault="0069327D">
    <w:pPr>
      <w:pStyle w:val="Headerpolicy"/>
    </w:pPr>
    <w:r>
      <w:t>Применение новых или пересмотренных стандартов и разъяснений (продолжение)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82816" behindDoc="0" locked="1" layoutInCell="0" allowOverlap="1" wp14:anchorId="61C8F89C" wp14:editId="75F655F4">
              <wp:simplePos x="0" y="0"/>
              <wp:positionH relativeFrom="character">
                <wp:posOffset>0</wp:posOffset>
              </wp:positionH>
              <wp:positionV relativeFrom="paragraph">
                <wp:posOffset>90169</wp:posOffset>
              </wp:positionV>
              <wp:extent cx="5938520" cy="0"/>
              <wp:effectExtent l="0" t="0" r="2413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8281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80768" behindDoc="0" locked="1" layoutInCell="0" allowOverlap="1" wp14:anchorId="5222997C" wp14:editId="146713A0">
              <wp:simplePos x="0" y="0"/>
              <wp:positionH relativeFrom="character">
                <wp:posOffset>0</wp:posOffset>
              </wp:positionH>
              <wp:positionV relativeFrom="paragraph">
                <wp:posOffset>90169</wp:posOffset>
              </wp:positionV>
              <wp:extent cx="5938520" cy="0"/>
              <wp:effectExtent l="0" t="0" r="2413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8076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1V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S1wdVc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 w:rsidR="0069327D" w:rsidRDefault="0069327D">
    <w:pPr>
      <w:rPr>
        <w:b/>
        <w:bCs/>
      </w:rPr>
    </w:pPr>
    <w:r>
      <w:rPr>
        <w:b/>
      </w:rPr>
      <w:t>3. Управление финансовыми рисками (продолжение)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78720" behindDoc="0" locked="1" layoutInCell="0" allowOverlap="1" wp14:anchorId="43EC719D" wp14:editId="60CF7B82">
              <wp:simplePos x="0" y="0"/>
              <wp:positionH relativeFrom="character">
                <wp:posOffset>0</wp:posOffset>
              </wp:positionH>
              <wp:positionV relativeFrom="paragraph">
                <wp:posOffset>90169</wp:posOffset>
              </wp:positionV>
              <wp:extent cx="5938520" cy="0"/>
              <wp:effectExtent l="0" t="0" r="2413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7872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yfxgIAAJQ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76672" behindDoc="0" locked="1" layoutInCell="0" allowOverlap="1" wp14:anchorId="2FF265E1" wp14:editId="013B3FBC">
              <wp:simplePos x="0" y="0"/>
              <wp:positionH relativeFrom="character">
                <wp:posOffset>0</wp:posOffset>
              </wp:positionH>
              <wp:positionV relativeFrom="paragraph">
                <wp:posOffset>90169</wp:posOffset>
              </wp:positionV>
              <wp:extent cx="5938520" cy="0"/>
              <wp:effectExtent l="0" t="0" r="2413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667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t0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G3j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U2kbdM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74624" behindDoc="0" locked="1" layoutInCell="0" allowOverlap="1" wp14:anchorId="7B014C3F" wp14:editId="7BD709B7">
              <wp:simplePos x="0" y="0"/>
              <wp:positionH relativeFrom="character">
                <wp:posOffset>0</wp:posOffset>
              </wp:positionH>
              <wp:positionV relativeFrom="paragraph">
                <wp:posOffset>90169</wp:posOffset>
              </wp:positionV>
              <wp:extent cx="5938520" cy="0"/>
              <wp:effectExtent l="0" t="0" r="2413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7462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uE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HRi7hM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Pr>
      <w:rPr>
        <w:b/>
        <w:bCs/>
      </w:rPr>
    </w:pPr>
  </w:p>
  <w:p w:rsidR="0069327D" w:rsidRDefault="0069327D">
    <w:pPr>
      <w:pStyle w:val="Headingpolicynotes"/>
    </w:pPr>
    <w:r>
      <w:t>16. Финансовые активы, оцениваемые по справедливой стоимости, изменения которой отражаются в составе прибыли или убытка (продолжение)</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72576" behindDoc="0" locked="1" layoutInCell="0" allowOverlap="1" wp14:anchorId="0D283BCD" wp14:editId="5B8ACDC2">
              <wp:simplePos x="0" y="0"/>
              <wp:positionH relativeFrom="character">
                <wp:posOffset>0</wp:posOffset>
              </wp:positionH>
              <wp:positionV relativeFrom="paragraph">
                <wp:posOffset>90169</wp:posOffset>
              </wp:positionV>
              <wp:extent cx="5938520" cy="0"/>
              <wp:effectExtent l="0" t="0" r="2413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7257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pO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G3g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jo0qTs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70528" behindDoc="0" locked="1" layoutInCell="0" allowOverlap="1" wp14:anchorId="30C336BC" wp14:editId="4C17A303">
              <wp:simplePos x="0" y="0"/>
              <wp:positionH relativeFrom="character">
                <wp:posOffset>0</wp:posOffset>
              </wp:positionH>
              <wp:positionV relativeFrom="paragraph">
                <wp:posOffset>90169</wp:posOffset>
              </wp:positionV>
              <wp:extent cx="5938520" cy="0"/>
              <wp:effectExtent l="0" t="0" r="2413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052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xgIAAJQ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68480" behindDoc="0" locked="1" layoutInCell="0" allowOverlap="1" wp14:anchorId="063F153F" wp14:editId="3D1EC5BD">
              <wp:simplePos x="0" y="0"/>
              <wp:positionH relativeFrom="character">
                <wp:posOffset>0</wp:posOffset>
              </wp:positionH>
              <wp:positionV relativeFrom="paragraph">
                <wp:posOffset>90169</wp:posOffset>
              </wp:positionV>
              <wp:extent cx="5938520" cy="0"/>
              <wp:effectExtent l="0" t="0" r="2413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848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evgBs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66432" behindDoc="0" locked="1" layoutInCell="0" allowOverlap="1" wp14:anchorId="2A1C4F6F" wp14:editId="1B200F79">
              <wp:simplePos x="0" y="0"/>
              <wp:positionH relativeFrom="character">
                <wp:posOffset>0</wp:posOffset>
              </wp:positionH>
              <wp:positionV relativeFrom="paragraph">
                <wp:posOffset>90169</wp:posOffset>
              </wp:positionV>
              <wp:extent cx="5938520" cy="0"/>
              <wp:effectExtent l="0" t="0" r="2413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643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64384" behindDoc="0" locked="1" layoutInCell="0" allowOverlap="1" wp14:anchorId="672C71A6" wp14:editId="2F10D8E7">
              <wp:simplePos x="0" y="0"/>
              <wp:positionH relativeFrom="character">
                <wp:posOffset>0</wp:posOffset>
              </wp:positionH>
              <wp:positionV relativeFrom="paragraph">
                <wp:posOffset>90169</wp:posOffset>
              </wp:positionV>
              <wp:extent cx="5938520" cy="0"/>
              <wp:effectExtent l="0" t="0" r="2413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Pr>
      <w:rPr>
        <w:b/>
        <w:bCs/>
      </w:rPr>
    </w:pPr>
    <w:r>
      <w:rPr>
        <w:b/>
      </w:rPr>
      <w:t>27. Операции со связанными сторонами (продолжение)</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62336" behindDoc="0" locked="1" layoutInCell="0" allowOverlap="1" wp14:anchorId="4A3B4761" wp14:editId="5F2E295B">
              <wp:simplePos x="0" y="0"/>
              <wp:positionH relativeFrom="character">
                <wp:posOffset>0</wp:posOffset>
              </wp:positionH>
              <wp:positionV relativeFrom="paragraph">
                <wp:posOffset>90169</wp:posOffset>
              </wp:positionV>
              <wp:extent cx="5938520" cy="0"/>
              <wp:effectExtent l="0" t="0" r="2413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Pr>
      <w:rPr>
        <w:b/>
        <w:bCs/>
      </w:rPr>
    </w:pPr>
  </w:p>
  <w:p w:rsidR="0069327D" w:rsidRDefault="0069327D">
    <w:pPr>
      <w:rPr>
        <w:b/>
        <w:bCs/>
      </w:rPr>
    </w:pPr>
    <w:r>
      <w:rPr>
        <w:b/>
      </w:rPr>
      <w:t>27. Операции со связанными сторонами (продолжение)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60288" behindDoc="0" locked="1" layoutInCell="0" allowOverlap="1" wp14:anchorId="60C80537" wp14:editId="747CF8C7">
              <wp:simplePos x="0" y="0"/>
              <wp:positionH relativeFrom="character">
                <wp:posOffset>0</wp:posOffset>
              </wp:positionH>
              <wp:positionV relativeFrom="paragraph">
                <wp:posOffset>90169</wp:posOffset>
              </wp:positionV>
              <wp:extent cx="5938520" cy="0"/>
              <wp:effectExtent l="0" t="0" r="2413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Pr>
      <w:rPr>
        <w:b/>
        <w:bCs/>
      </w:rPr>
    </w:pPr>
  </w:p>
  <w:p w:rsidR="0069327D" w:rsidRDefault="0069327D">
    <w:pPr>
      <w:rPr>
        <w:b/>
        <w:bCs/>
      </w:rPr>
    </w:pPr>
    <w:r>
      <w:rPr>
        <w:b/>
      </w:rPr>
      <w:t>27. Операции со связанными сторонами (продолжение)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84864" behindDoc="0" locked="1" layoutInCell="0" allowOverlap="1" wp14:anchorId="73DF5359" wp14:editId="598D7969">
              <wp:simplePos x="0" y="0"/>
              <wp:positionH relativeFrom="character">
                <wp:posOffset>0</wp:posOffset>
              </wp:positionH>
              <wp:positionV relativeFrom="paragraph">
                <wp:posOffset>90169</wp:posOffset>
              </wp:positionV>
              <wp:extent cx="5938520" cy="0"/>
              <wp:effectExtent l="0" t="0" r="2413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486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2012 г.</w:t>
    </w:r>
  </w:p>
  <w:p w:rsidR="0069327D" w:rsidRDefault="0069327D">
    <w:pPr>
      <w:rPr>
        <w:sz w:val="24"/>
        <w:szCs w:val="24"/>
      </w:rPr>
    </w:pPr>
  </w:p>
  <w:p w:rsidR="0069327D" w:rsidRDefault="0069327D">
    <w:pPr>
      <w:rPr>
        <w:b/>
        <w:bCs/>
      </w:rPr>
    </w:pPr>
  </w:p>
  <w:p w:rsidR="0069327D" w:rsidRDefault="0069327D">
    <w:pPr>
      <w:rPr>
        <w:b/>
        <w:bCs/>
      </w:rPr>
    </w:pPr>
    <w:r>
      <w:rPr>
        <w:b/>
      </w:rPr>
      <w:t>27. Операции со связанными сторонами (продолжение)</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186966" w:rsidRDefault="0069327D" w:rsidP="00186966">
    <w:pPr>
      <w:pStyle w:val="a3"/>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p w:rsidR="0069327D" w:rsidRDefault="0069327D">
    <w:pPr>
      <w:pStyle w:val="Headingline2"/>
    </w:pPr>
    <w:r>
      <w:t>ОТЧЕТ СОВЕТА ДИРЕКТОРОВ</w:t>
    </w:r>
  </w:p>
  <w:p w:rsidR="0069327D" w:rsidRDefault="0069327D">
    <w:pPr>
      <w:pStyle w:val="Headingline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5542D0" w:rsidRDefault="0069327D">
    <w:pPr>
      <w:pStyle w:val="Headingline1"/>
    </w:pPr>
    <w:r>
      <w:t>O1 PROPERTIES LIMITED</w:t>
    </w:r>
  </w:p>
  <w:p w:rsidR="0069327D" w:rsidRPr="005542D0" w:rsidRDefault="0069327D">
    <w:pPr>
      <w:pStyle w:val="Headingline1"/>
    </w:pPr>
  </w:p>
  <w:p w:rsidR="0069327D" w:rsidRPr="005542D0" w:rsidRDefault="0069327D">
    <w:pPr>
      <w:pStyle w:val="Headingline2"/>
    </w:pPr>
    <w:r>
      <w:t>ОТЧЕТ СОВЕТА ДИРЕКТОРОВ</w:t>
    </w:r>
  </w:p>
  <w:p w:rsidR="0069327D" w:rsidRPr="005542D0" w:rsidRDefault="0069327D">
    <w:pPr>
      <w:pStyle w:val="Headingline2"/>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1colforentyp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8176" behindDoc="0" locked="1" layoutInCell="0" allowOverlap="1" wp14:anchorId="2F5E1C96" wp14:editId="487B6D39">
              <wp:simplePos x="0" y="0"/>
              <wp:positionH relativeFrom="character">
                <wp:posOffset>0</wp:posOffset>
              </wp:positionH>
              <wp:positionV relativeFrom="paragraph">
                <wp:posOffset>90169</wp:posOffset>
              </wp:positionV>
              <wp:extent cx="5943600" cy="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9817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p w:rsidR="0069327D" w:rsidRDefault="0069327D">
    <w:pPr>
      <w:rPr>
        <w:b/>
        <w:bCs/>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7152" behindDoc="0" locked="1" layoutInCell="0" allowOverlap="1" wp14:anchorId="35E4418E" wp14:editId="10B3C014">
              <wp:simplePos x="0" y="0"/>
              <wp:positionH relativeFrom="character">
                <wp:posOffset>0</wp:posOffset>
              </wp:positionH>
              <wp:positionV relativeFrom="paragraph">
                <wp:posOffset>90169</wp:posOffset>
              </wp:positionV>
              <wp:extent cx="5943600" cy="0"/>
              <wp:effectExtent l="0" t="0" r="19050"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97152;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6128" behindDoc="0" locked="1" layoutInCell="0" allowOverlap="1" wp14:anchorId="6EDB0030" wp14:editId="62A322CD">
              <wp:simplePos x="0" y="0"/>
              <wp:positionH relativeFrom="character">
                <wp:posOffset>0</wp:posOffset>
              </wp:positionH>
              <wp:positionV relativeFrom="paragraph">
                <wp:posOffset>90169</wp:posOffset>
              </wp:positionV>
              <wp:extent cx="5943600" cy="0"/>
              <wp:effectExtent l="0" t="0" r="1905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96128;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5104" behindDoc="0" locked="1" layoutInCell="0" allowOverlap="1" wp14:anchorId="3D91B58C" wp14:editId="19EE8EBC">
              <wp:simplePos x="0" y="0"/>
              <wp:positionH relativeFrom="character">
                <wp:posOffset>0</wp:posOffset>
              </wp:positionH>
              <wp:positionV relativeFrom="paragraph">
                <wp:posOffset>90169</wp:posOffset>
              </wp:positionV>
              <wp:extent cx="5943600" cy="0"/>
              <wp:effectExtent l="0" t="0" r="1905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95104;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4080" behindDoc="0" locked="1" layoutInCell="0" allowOverlap="1" wp14:anchorId="5099DD3D" wp14:editId="39C94D98">
              <wp:simplePos x="0" y="0"/>
              <wp:positionH relativeFrom="character">
                <wp:posOffset>0</wp:posOffset>
              </wp:positionH>
              <wp:positionV relativeFrom="paragraph">
                <wp:posOffset>90169</wp:posOffset>
              </wp:positionV>
              <wp:extent cx="59436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94080;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p w:rsidR="0069327D" w:rsidRDefault="0069327D">
    <w:pPr>
      <w:rPr>
        <w:b/>
        <w:bCs/>
      </w:rPr>
    </w:pPr>
    <w:r>
      <w:rPr>
        <w:b/>
      </w:rPr>
      <w:t>28. Операции со связанными сторонами (продолжение)</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4294967295" distB="4294967295" distL="114300" distR="114300" simplePos="0" relativeHeight="251693056" behindDoc="0" locked="1" layoutInCell="0" allowOverlap="1" wp14:anchorId="5DCF3084" wp14:editId="70852E0A">
              <wp:simplePos x="0" y="0"/>
              <wp:positionH relativeFrom="character">
                <wp:posOffset>0</wp:posOffset>
              </wp:positionH>
              <wp:positionV relativeFrom="paragraph">
                <wp:posOffset>90169</wp:posOffset>
              </wp:positionV>
              <wp:extent cx="5943600" cy="0"/>
              <wp:effectExtent l="0" t="0" r="19050" b="190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93056;visibility:visible;mso-wrap-style:square;mso-width-percent:0;mso-height-percent:0;mso-wrap-distance-left:9pt;mso-wrap-distance-top:-3e-5mm;mso-wrap-distance-right:9pt;mso-wrap-distance-bottom:-3e-5mm;mso-position-horizontal:absolute;mso-position-horizontal-relative:char;mso-position-vertical:absolute;mso-position-vertical-relative:text;mso-width-percent:0;mso-height-percent:0;mso-width-relative:page;mso-height-relative:page" from="0,7.1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" o:allowincell="f" strokeweight="1pt">
              <w10:anchorlock/>
            </v:line>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2013 г.</w:t>
    </w:r>
  </w:p>
  <w:p w:rsidR="0069327D" w:rsidRDefault="0069327D">
    <w:pPr>
      <w:rPr>
        <w:sz w:val="24"/>
        <w:szCs w:val="24"/>
      </w:rPr>
    </w:pPr>
  </w:p>
  <w:p w:rsidR="0069327D" w:rsidRDefault="0069327D">
    <w:pPr>
      <w:rPr>
        <w:b/>
        <w:bCs/>
      </w:rPr>
    </w:pPr>
  </w:p>
  <w:p w:rsidR="0069327D" w:rsidRDefault="0069327D">
    <w:pPr>
      <w:rPr>
        <w:b/>
        <w:bCs/>
      </w:rPr>
    </w:pPr>
    <w:r>
      <w:rPr>
        <w:b/>
      </w:rPr>
      <w:t>28. Операции со связанными сторонами (продолжение)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rPr>
        <w:sz w:val="24"/>
        <w:szCs w:val="24"/>
      </w:rPr>
    </w:pPr>
    <w:r>
      <w:rPr>
        <w:noProof/>
        <w:lang w:eastAsia="ru-RU"/>
      </w:rPr>
      <w:drawing>
        <wp:inline distT="0" distB="0" distL="0" distR="0">
          <wp:extent cx="1407160" cy="1192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1192530"/>
                  </a:xfrm>
                  <a:prstGeom prst="rect">
                    <a:avLst/>
                  </a:prstGeom>
                  <a:noFill/>
                  <a:ln>
                    <a:noFill/>
                  </a:ln>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Pr="00743CE5" w:rsidRDefault="0069327D" w:rsidP="00743CE5">
    <w:pPr>
      <w:pStyle w:val="a3"/>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1colforentypo"/>
    </w:pPr>
    <w:r>
      <w:rPr>
        <w:noProof/>
        <w:lang w:bidi="ar-SA"/>
      </w:rPr>
      <w:drawing>
        <wp:inline distT="0" distB="0" distL="0" distR="0">
          <wp:extent cx="1407160" cy="1192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1192530"/>
                  </a:xfrm>
                  <a:prstGeom prst="rect">
                    <a:avLst/>
                  </a:prstGeom>
                  <a:noFill/>
                  <a:ln>
                    <a:noFill/>
                  </a:ln>
                </pic:spPr>
              </pic:pic>
            </a:graphicData>
          </a:graphic>
        </wp:inline>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rPr>
        <w:sz w:val="24"/>
        <w:szCs w:val="24"/>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1colforentypo"/>
    </w:pPr>
    <w:r>
      <w:rPr>
        <w:noProof/>
        <w:lang w:bidi="ar-SA"/>
      </w:rPr>
      <w:drawing>
        <wp:inline distT="0" distB="0" distL="0" distR="0">
          <wp:extent cx="1409700" cy="119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193800"/>
                  </a:xfrm>
                  <a:prstGeom prst="rect">
                    <a:avLst/>
                  </a:prstGeom>
                  <a:noFill/>
                  <a:ln>
                    <a:noFill/>
                  </a:ln>
                </pic:spPr>
              </pic:pic>
            </a:graphicData>
          </a:graphic>
        </wp:inline>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1colforentyp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r>
      <w:rPr>
        <w:noProof/>
        <w:lang w:bidi="ar-SA"/>
      </w:rPr>
      <mc:AlternateContent>
        <mc:Choice Requires="wps">
          <w:drawing>
            <wp:anchor distT="0" distB="0" distL="114300" distR="114300" simplePos="0" relativeHeight="251700224" behindDoc="0" locked="0" layoutInCell="0" allowOverlap="1" wp14:anchorId="086328E2" wp14:editId="5F24166E">
              <wp:simplePos x="0" y="0"/>
              <wp:positionH relativeFrom="character">
                <wp:posOffset>0</wp:posOffset>
              </wp:positionH>
              <wp:positionV relativeFrom="paragraph">
                <wp:posOffset>90170</wp:posOffset>
              </wp:positionV>
              <wp:extent cx="5938520" cy="0"/>
              <wp:effectExtent l="13970" t="9525" r="10160" b="95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00224;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" o:allowincell="f" strokeweight="1pt"/>
          </w:pict>
        </mc:Fallback>
      </mc:AlternateContent>
    </w:r>
  </w:p>
  <w:p w:rsidR="0069327D" w:rsidRDefault="0069327D">
    <w:pPr>
      <w:pStyle w:val="Headingline2"/>
    </w:pPr>
    <w:r>
      <w:t>ПРИМЕЧАНИЯ К ФИНАНСОВОЙ ОТЧЕТНОСТИ</w:t>
    </w:r>
  </w:p>
  <w:p w:rsidR="0069327D" w:rsidRDefault="0069327D">
    <w:pPr>
      <w:pStyle w:val="Headingline3"/>
    </w:pPr>
    <w:r>
      <w:t>За год, закончившийся 31 декабря 2014 г.</w:t>
    </w:r>
  </w:p>
  <w:p w:rsidR="0069327D" w:rsidRDefault="0069327D">
    <w:pPr>
      <w:rPr>
        <w:sz w:val="24"/>
        <w:szCs w:val="2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rsidP="00743CE5">
    <w:pPr>
      <w:pStyle w:val="Headingline1"/>
    </w:pPr>
    <w:r>
      <w:t>O1 PROPERTIES LIMITED</w:t>
    </w:r>
  </w:p>
  <w:p w:rsidR="0069327D" w:rsidRDefault="0069327D" w:rsidP="00743CE5">
    <w:pPr>
      <w:pStyle w:val="Headingline1"/>
    </w:pPr>
    <w:r>
      <w:rPr>
        <w:noProof/>
        <w:lang w:bidi="ar-SA"/>
      </w:rPr>
      <mc:AlternateContent>
        <mc:Choice Requires="wps">
          <w:drawing>
            <wp:anchor distT="0" distB="0" distL="114300" distR="114300" simplePos="0" relativeHeight="251701248" behindDoc="0" locked="0" layoutInCell="0" allowOverlap="1" wp14:anchorId="0A6158F4" wp14:editId="539E4136">
              <wp:simplePos x="0" y="0"/>
              <wp:positionH relativeFrom="character">
                <wp:posOffset>0</wp:posOffset>
              </wp:positionH>
              <wp:positionV relativeFrom="paragraph">
                <wp:posOffset>90170</wp:posOffset>
              </wp:positionV>
              <wp:extent cx="5938520" cy="0"/>
              <wp:effectExtent l="13970" t="9525" r="10160" b="95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0124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0,7.1pt" to="467.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" o:allowincell="f" strokeweight="1pt"/>
          </w:pict>
        </mc:Fallback>
      </mc:AlternateContent>
    </w:r>
  </w:p>
  <w:p w:rsidR="0069327D" w:rsidRDefault="0069327D" w:rsidP="00743CE5">
    <w:pPr>
      <w:pStyle w:val="Headingline2"/>
    </w:pPr>
    <w:r>
      <w:t>ПРИМЕЧАНИЯ К ФИНАНСОВОЙ ОТЧЕТНОСТИ</w:t>
    </w:r>
  </w:p>
  <w:p w:rsidR="0069327D" w:rsidRDefault="0069327D" w:rsidP="00743CE5">
    <w:pPr>
      <w:pStyle w:val="Headingline3"/>
    </w:pPr>
    <w:r>
      <w:t>За год, закончившийся 31 декабря 2014 г.</w:t>
    </w:r>
  </w:p>
  <w:p w:rsidR="0069327D" w:rsidRDefault="0069327D">
    <w:pPr>
      <w:pStyle w:val="a3"/>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D" w:rsidRDefault="0069327D">
    <w:pPr>
      <w:pStyle w:val="Headingline1"/>
    </w:pPr>
    <w:r>
      <w:t>O1 PROPERTIES LIMITED</w:t>
    </w:r>
  </w:p>
  <w:p w:rsidR="0069327D" w:rsidRDefault="0069327D">
    <w:pPr>
      <w:pStyle w:val="Headingline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A64E0FC"/>
    <w:lvl w:ilvl="0">
      <w:numFmt w:val="bullet"/>
      <w:lvlText w:val="*"/>
      <w:lvlJc w:val="left"/>
    </w:lvl>
  </w:abstractNum>
  <w:abstractNum w:abstractNumId="1">
    <w:nsid w:val="04AD0D6B"/>
    <w:multiLevelType w:val="multilevel"/>
    <w:tmpl w:val="5BEAB8CE"/>
    <w:lvl w:ilvl="0">
      <w:start w:val="1"/>
      <w:numFmt w:val="upperRoman"/>
      <w:pStyle w:val="1"/>
      <w:lvlText w:val="%1"/>
      <w:lvlJc w:val="left"/>
      <w:pPr>
        <w:tabs>
          <w:tab w:val="num" w:pos="720"/>
        </w:tabs>
        <w:ind w:left="720" w:hanging="720"/>
      </w:pPr>
      <w:rPr>
        <w:rFonts w:cs="Times New Roman"/>
      </w:rPr>
    </w:lvl>
    <w:lvl w:ilvl="1">
      <w:start w:val="1"/>
      <w:numFmt w:val="none"/>
      <w:pStyle w:val="2"/>
      <w:suff w:val="nothing"/>
      <w:lvlText w:val="%2"/>
      <w:lvlJc w:val="left"/>
      <w:rPr>
        <w:rFonts w:cs="Times New Roman"/>
      </w:rPr>
    </w:lvl>
    <w:lvl w:ilvl="2">
      <w:start w:val="1"/>
      <w:numFmt w:val="decimal"/>
      <w:pStyle w:val="3"/>
      <w:lvlText w:val="%3"/>
      <w:lvlJc w:val="left"/>
      <w:pPr>
        <w:tabs>
          <w:tab w:val="num" w:pos="720"/>
        </w:tabs>
        <w:ind w:left="720" w:hanging="720"/>
      </w:pPr>
      <w:rPr>
        <w:rFonts w:cs="Times New Roman"/>
      </w:rPr>
    </w:lvl>
    <w:lvl w:ilvl="3">
      <w:start w:val="1"/>
      <w:numFmt w:val="lowerLetter"/>
      <w:pStyle w:val="4"/>
      <w:lvlText w:val="(%4)"/>
      <w:lvlJc w:val="left"/>
      <w:pPr>
        <w:tabs>
          <w:tab w:val="num" w:pos="1440"/>
        </w:tabs>
        <w:ind w:left="1440" w:hanging="720"/>
      </w:pPr>
      <w:rPr>
        <w:rFonts w:cs="Times New Roman"/>
      </w:rPr>
    </w:lvl>
    <w:lvl w:ilvl="4">
      <w:start w:val="1"/>
      <w:numFmt w:val="lowerRoman"/>
      <w:pStyle w:val="5"/>
      <w:lvlText w:val="(%5)"/>
      <w:lvlJc w:val="left"/>
      <w:pPr>
        <w:tabs>
          <w:tab w:val="num" w:pos="2520"/>
        </w:tabs>
        <w:ind w:left="2160" w:hanging="720"/>
      </w:pPr>
      <w:rPr>
        <w:rFonts w:cs="Times New Roman"/>
      </w:rPr>
    </w:lvl>
    <w:lvl w:ilvl="5">
      <w:start w:val="1"/>
      <w:numFmt w:val="decimal"/>
      <w:pStyle w:val="6"/>
      <w:isLgl/>
      <w:lvlText w:val="%6"/>
      <w:lvlJc w:val="left"/>
      <w:pPr>
        <w:tabs>
          <w:tab w:val="num" w:pos="1440"/>
        </w:tabs>
        <w:ind w:left="1440" w:hanging="1440"/>
      </w:pPr>
      <w:rPr>
        <w:rFonts w:cs="Times New Roman"/>
      </w:rPr>
    </w:lvl>
    <w:lvl w:ilvl="6">
      <w:start w:val="1"/>
      <w:numFmt w:val="decimal"/>
      <w:pStyle w:val="7"/>
      <w:isLgl/>
      <w:lvlText w:val="%6.%7"/>
      <w:lvlJc w:val="left"/>
      <w:pPr>
        <w:tabs>
          <w:tab w:val="num" w:pos="1440"/>
        </w:tabs>
        <w:ind w:left="1440" w:hanging="1440"/>
      </w:pPr>
      <w:rPr>
        <w:rFonts w:cs="Times New Roman"/>
      </w:rPr>
    </w:lvl>
    <w:lvl w:ilvl="7">
      <w:start w:val="1"/>
      <w:numFmt w:val="decimal"/>
      <w:pStyle w:val="8"/>
      <w:isLgl/>
      <w:lvlText w:val="%6.%7.%8"/>
      <w:lvlJc w:val="left"/>
      <w:pPr>
        <w:tabs>
          <w:tab w:val="num" w:pos="1440"/>
        </w:tabs>
        <w:ind w:left="1440" w:hanging="1440"/>
      </w:pPr>
      <w:rPr>
        <w:rFonts w:cs="Times New Roman"/>
      </w:rPr>
    </w:lvl>
    <w:lvl w:ilvl="8">
      <w:start w:val="1"/>
      <w:numFmt w:val="decimal"/>
      <w:pStyle w:val="9"/>
      <w:isLgl/>
      <w:lvlText w:val="%6.%7.%8.%9"/>
      <w:lvlJc w:val="left"/>
      <w:pPr>
        <w:tabs>
          <w:tab w:val="num" w:pos="1440"/>
        </w:tabs>
        <w:ind w:left="1440" w:hanging="1440"/>
      </w:pPr>
      <w:rPr>
        <w:rFonts w:cs="Times New Roman"/>
      </w:rPr>
    </w:lvl>
  </w:abstractNum>
  <w:abstractNum w:abstractNumId="2">
    <w:nsid w:val="0DDE1F83"/>
    <w:multiLevelType w:val="hybridMultilevel"/>
    <w:tmpl w:val="595C755E"/>
    <w:lvl w:ilvl="0" w:tplc="2F4A9D34">
      <w:start w:val="2011"/>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4D125A"/>
    <w:multiLevelType w:val="hybridMultilevel"/>
    <w:tmpl w:val="41748234"/>
    <w:lvl w:ilvl="0" w:tplc="06FE9FF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36AF079E"/>
    <w:multiLevelType w:val="hybridMultilevel"/>
    <w:tmpl w:val="351E4B10"/>
    <w:lvl w:ilvl="0" w:tplc="1D1E5026">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66E86F3A">
      <w:numFmt w:val="bullet"/>
      <w:lvlText w:val="•"/>
      <w:lvlJc w:val="left"/>
      <w:pPr>
        <w:ind w:left="2520" w:hanging="720"/>
      </w:pPr>
      <w:rPr>
        <w:rFonts w:ascii="Arial" w:eastAsia="Times New Roman" w:hAnsi="Aria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22B1408"/>
    <w:multiLevelType w:val="hybridMultilevel"/>
    <w:tmpl w:val="2C02A120"/>
    <w:lvl w:ilvl="0" w:tplc="B37C23E4">
      <w:start w:val="2011"/>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C4407A"/>
    <w:multiLevelType w:val="hybridMultilevel"/>
    <w:tmpl w:val="718E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ED4F9F"/>
    <w:multiLevelType w:val="hybridMultilevel"/>
    <w:tmpl w:val="773C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59468D"/>
    <w:multiLevelType w:val="hybridMultilevel"/>
    <w:tmpl w:val="E028E878"/>
    <w:lvl w:ilvl="0" w:tplc="04090001">
      <w:start w:val="1"/>
      <w:numFmt w:val="bullet"/>
      <w:lvlText w:val=""/>
      <w:lvlJc w:val="left"/>
      <w:pPr>
        <w:ind w:left="2137" w:hanging="360"/>
      </w:pPr>
      <w:rPr>
        <w:rFonts w:ascii="Symbol" w:hAnsi="Symbol" w:hint="default"/>
      </w:rPr>
    </w:lvl>
    <w:lvl w:ilvl="1" w:tplc="04090019" w:tentative="1">
      <w:start w:val="1"/>
      <w:numFmt w:val="lowerLetter"/>
      <w:lvlText w:val="%2."/>
      <w:lvlJc w:val="left"/>
      <w:pPr>
        <w:ind w:left="2857" w:hanging="360"/>
      </w:pPr>
      <w:rPr>
        <w:rFonts w:cs="Times New Roman"/>
      </w:rPr>
    </w:lvl>
    <w:lvl w:ilvl="2" w:tplc="0409001B" w:tentative="1">
      <w:start w:val="1"/>
      <w:numFmt w:val="lowerRoman"/>
      <w:lvlText w:val="%3."/>
      <w:lvlJc w:val="right"/>
      <w:pPr>
        <w:ind w:left="3577" w:hanging="180"/>
      </w:pPr>
      <w:rPr>
        <w:rFonts w:cs="Times New Roman"/>
      </w:rPr>
    </w:lvl>
    <w:lvl w:ilvl="3" w:tplc="0409000F" w:tentative="1">
      <w:start w:val="1"/>
      <w:numFmt w:val="decimal"/>
      <w:lvlText w:val="%4."/>
      <w:lvlJc w:val="left"/>
      <w:pPr>
        <w:ind w:left="4297" w:hanging="360"/>
      </w:pPr>
      <w:rPr>
        <w:rFonts w:cs="Times New Roman"/>
      </w:rPr>
    </w:lvl>
    <w:lvl w:ilvl="4" w:tplc="04090019" w:tentative="1">
      <w:start w:val="1"/>
      <w:numFmt w:val="lowerLetter"/>
      <w:lvlText w:val="%5."/>
      <w:lvlJc w:val="left"/>
      <w:pPr>
        <w:ind w:left="5017" w:hanging="360"/>
      </w:pPr>
      <w:rPr>
        <w:rFonts w:cs="Times New Roman"/>
      </w:rPr>
    </w:lvl>
    <w:lvl w:ilvl="5" w:tplc="0409001B" w:tentative="1">
      <w:start w:val="1"/>
      <w:numFmt w:val="lowerRoman"/>
      <w:lvlText w:val="%6."/>
      <w:lvlJc w:val="right"/>
      <w:pPr>
        <w:ind w:left="5737" w:hanging="180"/>
      </w:pPr>
      <w:rPr>
        <w:rFonts w:cs="Times New Roman"/>
      </w:rPr>
    </w:lvl>
    <w:lvl w:ilvl="6" w:tplc="0409000F" w:tentative="1">
      <w:start w:val="1"/>
      <w:numFmt w:val="decimal"/>
      <w:lvlText w:val="%7."/>
      <w:lvlJc w:val="left"/>
      <w:pPr>
        <w:ind w:left="6457" w:hanging="360"/>
      </w:pPr>
      <w:rPr>
        <w:rFonts w:cs="Times New Roman"/>
      </w:rPr>
    </w:lvl>
    <w:lvl w:ilvl="7" w:tplc="04090019" w:tentative="1">
      <w:start w:val="1"/>
      <w:numFmt w:val="lowerLetter"/>
      <w:lvlText w:val="%8."/>
      <w:lvlJc w:val="left"/>
      <w:pPr>
        <w:ind w:left="7177" w:hanging="360"/>
      </w:pPr>
      <w:rPr>
        <w:rFonts w:cs="Times New Roman"/>
      </w:rPr>
    </w:lvl>
    <w:lvl w:ilvl="8" w:tplc="0409001B" w:tentative="1">
      <w:start w:val="1"/>
      <w:numFmt w:val="lowerRoman"/>
      <w:lvlText w:val="%9."/>
      <w:lvlJc w:val="right"/>
      <w:pPr>
        <w:ind w:left="7897" w:hanging="180"/>
      </w:pPr>
      <w:rPr>
        <w:rFonts w:cs="Times New Roman"/>
      </w:rPr>
    </w:lvl>
  </w:abstractNum>
  <w:abstractNum w:abstractNumId="9">
    <w:nsid w:val="783F69A2"/>
    <w:multiLevelType w:val="hybridMultilevel"/>
    <w:tmpl w:val="AA90FD28"/>
    <w:lvl w:ilvl="0" w:tplc="7DEAF3CE">
      <w:start w:val="1"/>
      <w:numFmt w:val="lowerLetter"/>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0"/>
    <w:lvlOverride w:ilvl="0">
      <w:lvl w:ilvl="0">
        <w:numFmt w:val="bullet"/>
        <w:lvlText w:val=""/>
        <w:legacy w:legacy="1" w:legacySpace="0" w:legacyIndent="680"/>
        <w:lvlJc w:val="left"/>
        <w:rPr>
          <w:rFonts w:ascii="Symbol" w:hAnsi="Symbol" w:hint="default"/>
          <w:color w:val="000000"/>
        </w:rPr>
      </w:lvl>
    </w:lvlOverride>
  </w:num>
  <w:num w:numId="2">
    <w:abstractNumId w:val="2"/>
  </w:num>
  <w:num w:numId="3">
    <w:abstractNumId w:val="5"/>
  </w:num>
  <w:num w:numId="4">
    <w:abstractNumId w:val="8"/>
  </w:num>
  <w:num w:numId="5">
    <w:abstractNumId w:val="1"/>
  </w:num>
  <w:num w:numId="6">
    <w:abstractNumId w:val="3"/>
  </w:num>
  <w:num w:numId="7">
    <w:abstractNumId w:val="9"/>
  </w:num>
  <w:num w:numId="8">
    <w:abstractNumId w:val="4"/>
  </w:num>
  <w:num w:numId="9">
    <w:abstractNumId w:val="7"/>
  </w:num>
  <w:num w:numId="10">
    <w:abstractNumId w:val="6"/>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56"/>
    <w:rsid w:val="00186966"/>
    <w:rsid w:val="00436AB5"/>
    <w:rsid w:val="00532742"/>
    <w:rsid w:val="005929AB"/>
    <w:rsid w:val="005932DA"/>
    <w:rsid w:val="005F0F9C"/>
    <w:rsid w:val="006609D2"/>
    <w:rsid w:val="00662F8C"/>
    <w:rsid w:val="0069327D"/>
    <w:rsid w:val="0073427F"/>
    <w:rsid w:val="00743CE5"/>
    <w:rsid w:val="00757AB5"/>
    <w:rsid w:val="008D55DE"/>
    <w:rsid w:val="00940E88"/>
    <w:rsid w:val="009D3A70"/>
    <w:rsid w:val="00A154DE"/>
    <w:rsid w:val="00AB2499"/>
    <w:rsid w:val="00AD3856"/>
    <w:rsid w:val="00BE0092"/>
    <w:rsid w:val="00CB150F"/>
    <w:rsid w:val="00EC5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Section Heading"/>
    <w:basedOn w:val="a"/>
    <w:next w:val="2"/>
    <w:link w:val="10"/>
    <w:uiPriority w:val="9"/>
    <w:qFormat/>
    <w:rsid w:val="0073427F"/>
    <w:pPr>
      <w:keepNext/>
      <w:keepLines/>
      <w:pageBreakBefore/>
      <w:numPr>
        <w:numId w:val="5"/>
      </w:numPr>
      <w:spacing w:after="242" w:line="410" w:lineRule="atLeast"/>
      <w:outlineLvl w:val="0"/>
    </w:pPr>
    <w:rPr>
      <w:rFonts w:ascii="Times New Roman" w:eastAsia="Times New Roman" w:hAnsi="Times New Roman" w:cs="Times New Roman"/>
      <w:b/>
      <w:kern w:val="28"/>
      <w:sz w:val="36"/>
      <w:szCs w:val="20"/>
      <w:lang w:eastAsia="ru-RU" w:bidi="ru-RU"/>
    </w:rPr>
  </w:style>
  <w:style w:type="paragraph" w:styleId="2">
    <w:name w:val="heading 2"/>
    <w:aliases w:val="Reset numbering"/>
    <w:basedOn w:val="a"/>
    <w:next w:val="3"/>
    <w:link w:val="20"/>
    <w:uiPriority w:val="9"/>
    <w:qFormat/>
    <w:rsid w:val="0073427F"/>
    <w:pPr>
      <w:numPr>
        <w:ilvl w:val="1"/>
        <w:numId w:val="5"/>
      </w:numPr>
      <w:spacing w:after="0" w:line="290" w:lineRule="atLeast"/>
      <w:outlineLvl w:val="1"/>
    </w:pPr>
    <w:rPr>
      <w:rFonts w:ascii="Times New Roman" w:eastAsia="Times New Roman" w:hAnsi="Times New Roman" w:cs="Times New Roman"/>
      <w:sz w:val="24"/>
      <w:szCs w:val="20"/>
      <w:lang w:eastAsia="ru-RU" w:bidi="ru-RU"/>
    </w:rPr>
  </w:style>
  <w:style w:type="paragraph" w:styleId="3">
    <w:name w:val="heading 3"/>
    <w:aliases w:val="Level 1 - 1"/>
    <w:basedOn w:val="a"/>
    <w:link w:val="30"/>
    <w:uiPriority w:val="9"/>
    <w:qFormat/>
    <w:rsid w:val="0073427F"/>
    <w:pPr>
      <w:numPr>
        <w:ilvl w:val="2"/>
        <w:numId w:val="5"/>
      </w:numPr>
      <w:spacing w:after="0" w:line="290" w:lineRule="atLeast"/>
      <w:outlineLvl w:val="2"/>
    </w:pPr>
    <w:rPr>
      <w:rFonts w:ascii="Times New Roman" w:eastAsia="Times New Roman" w:hAnsi="Times New Roman" w:cs="Times New Roman"/>
      <w:sz w:val="24"/>
      <w:szCs w:val="20"/>
      <w:lang w:eastAsia="ru-RU" w:bidi="ru-RU"/>
    </w:rPr>
  </w:style>
  <w:style w:type="paragraph" w:styleId="4">
    <w:name w:val="heading 4"/>
    <w:aliases w:val="Level 2 - a"/>
    <w:basedOn w:val="a"/>
    <w:link w:val="40"/>
    <w:uiPriority w:val="9"/>
    <w:qFormat/>
    <w:rsid w:val="0073427F"/>
    <w:pPr>
      <w:numPr>
        <w:ilvl w:val="3"/>
        <w:numId w:val="5"/>
      </w:numPr>
      <w:spacing w:after="0" w:line="290" w:lineRule="atLeast"/>
      <w:outlineLvl w:val="3"/>
    </w:pPr>
    <w:rPr>
      <w:rFonts w:ascii="Times New Roman" w:eastAsia="Times New Roman" w:hAnsi="Times New Roman" w:cs="Times New Roman"/>
      <w:sz w:val="24"/>
      <w:szCs w:val="20"/>
      <w:lang w:eastAsia="ru-RU" w:bidi="ru-RU"/>
    </w:rPr>
  </w:style>
  <w:style w:type="paragraph" w:styleId="5">
    <w:name w:val="heading 5"/>
    <w:aliases w:val="Level 3 - i"/>
    <w:basedOn w:val="a"/>
    <w:link w:val="50"/>
    <w:uiPriority w:val="9"/>
    <w:qFormat/>
    <w:rsid w:val="0073427F"/>
    <w:pPr>
      <w:numPr>
        <w:ilvl w:val="4"/>
        <w:numId w:val="5"/>
      </w:numPr>
      <w:tabs>
        <w:tab w:val="left" w:pos="2160"/>
      </w:tabs>
      <w:spacing w:after="0" w:line="290" w:lineRule="atLeast"/>
      <w:outlineLvl w:val="4"/>
    </w:pPr>
    <w:rPr>
      <w:rFonts w:ascii="Times New Roman" w:eastAsia="Times New Roman" w:hAnsi="Times New Roman" w:cs="Times New Roman"/>
      <w:sz w:val="24"/>
      <w:szCs w:val="20"/>
      <w:lang w:eastAsia="ru-RU" w:bidi="ru-RU"/>
    </w:rPr>
  </w:style>
  <w:style w:type="paragraph" w:styleId="6">
    <w:name w:val="heading 6"/>
    <w:aliases w:val="Legal Level 1."/>
    <w:basedOn w:val="a"/>
    <w:link w:val="60"/>
    <w:uiPriority w:val="9"/>
    <w:qFormat/>
    <w:rsid w:val="0073427F"/>
    <w:pPr>
      <w:numPr>
        <w:ilvl w:val="5"/>
        <w:numId w:val="5"/>
      </w:numPr>
      <w:spacing w:after="0" w:line="290" w:lineRule="atLeast"/>
      <w:outlineLvl w:val="5"/>
    </w:pPr>
    <w:rPr>
      <w:rFonts w:ascii="Times New Roman" w:eastAsia="Times New Roman" w:hAnsi="Times New Roman" w:cs="Times New Roman"/>
      <w:sz w:val="24"/>
      <w:szCs w:val="20"/>
      <w:lang w:eastAsia="ru-RU" w:bidi="ru-RU"/>
    </w:rPr>
  </w:style>
  <w:style w:type="paragraph" w:styleId="7">
    <w:name w:val="heading 7"/>
    <w:aliases w:val="Legal Level 1.1."/>
    <w:basedOn w:val="a"/>
    <w:next w:val="a"/>
    <w:link w:val="70"/>
    <w:uiPriority w:val="9"/>
    <w:qFormat/>
    <w:rsid w:val="0073427F"/>
    <w:pPr>
      <w:numPr>
        <w:ilvl w:val="6"/>
        <w:numId w:val="5"/>
      </w:numPr>
      <w:spacing w:after="0" w:line="290" w:lineRule="atLeast"/>
      <w:outlineLvl w:val="6"/>
    </w:pPr>
    <w:rPr>
      <w:rFonts w:ascii="Times New Roman" w:eastAsia="Times New Roman" w:hAnsi="Times New Roman" w:cs="Times New Roman"/>
      <w:sz w:val="24"/>
      <w:szCs w:val="20"/>
      <w:lang w:eastAsia="ru-RU" w:bidi="ru-RU"/>
    </w:rPr>
  </w:style>
  <w:style w:type="paragraph" w:styleId="8">
    <w:name w:val="heading 8"/>
    <w:aliases w:val="Legal Level 1.1.1."/>
    <w:basedOn w:val="a"/>
    <w:next w:val="a"/>
    <w:link w:val="80"/>
    <w:uiPriority w:val="9"/>
    <w:qFormat/>
    <w:rsid w:val="0073427F"/>
    <w:pPr>
      <w:numPr>
        <w:ilvl w:val="7"/>
        <w:numId w:val="5"/>
      </w:numPr>
      <w:spacing w:after="0" w:line="290" w:lineRule="atLeast"/>
      <w:outlineLvl w:val="7"/>
    </w:pPr>
    <w:rPr>
      <w:rFonts w:ascii="Times New Roman" w:eastAsia="Times New Roman" w:hAnsi="Times New Roman" w:cs="Times New Roman"/>
      <w:sz w:val="24"/>
      <w:szCs w:val="20"/>
      <w:lang w:eastAsia="ru-RU" w:bidi="ru-RU"/>
    </w:rPr>
  </w:style>
  <w:style w:type="paragraph" w:styleId="9">
    <w:name w:val="heading 9"/>
    <w:aliases w:val="Legal Level 1.1.1.1."/>
    <w:basedOn w:val="a"/>
    <w:next w:val="a"/>
    <w:link w:val="90"/>
    <w:uiPriority w:val="9"/>
    <w:qFormat/>
    <w:rsid w:val="0073427F"/>
    <w:pPr>
      <w:numPr>
        <w:ilvl w:val="8"/>
        <w:numId w:val="5"/>
      </w:numPr>
      <w:spacing w:after="0" w:line="290" w:lineRule="atLeast"/>
      <w:outlineLvl w:val="8"/>
    </w:pPr>
    <w:rPr>
      <w:rFonts w:ascii="Times New Roman" w:eastAsia="Times New Roman" w:hAnsi="Times New Roman" w:cs="Times New Roman"/>
      <w:sz w:val="24"/>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ection Heading Знак"/>
    <w:basedOn w:val="a0"/>
    <w:link w:val="1"/>
    <w:uiPriority w:val="9"/>
    <w:rsid w:val="0073427F"/>
    <w:rPr>
      <w:rFonts w:ascii="Times New Roman" w:eastAsia="Times New Roman" w:hAnsi="Times New Roman" w:cs="Times New Roman"/>
      <w:b/>
      <w:kern w:val="28"/>
      <w:sz w:val="36"/>
      <w:szCs w:val="20"/>
      <w:lang w:eastAsia="ru-RU" w:bidi="ru-RU"/>
    </w:rPr>
  </w:style>
  <w:style w:type="character" w:customStyle="1" w:styleId="20">
    <w:name w:val="Заголовок 2 Знак"/>
    <w:aliases w:val="Reset numbering Знак"/>
    <w:basedOn w:val="a0"/>
    <w:link w:val="2"/>
    <w:uiPriority w:val="9"/>
    <w:rsid w:val="0073427F"/>
    <w:rPr>
      <w:rFonts w:ascii="Times New Roman" w:eastAsia="Times New Roman" w:hAnsi="Times New Roman" w:cs="Times New Roman"/>
      <w:sz w:val="24"/>
      <w:szCs w:val="20"/>
      <w:lang w:eastAsia="ru-RU" w:bidi="ru-RU"/>
    </w:rPr>
  </w:style>
  <w:style w:type="character" w:customStyle="1" w:styleId="30">
    <w:name w:val="Заголовок 3 Знак"/>
    <w:aliases w:val="Level 1 - 1 Знак"/>
    <w:basedOn w:val="a0"/>
    <w:link w:val="3"/>
    <w:uiPriority w:val="9"/>
    <w:rsid w:val="0073427F"/>
    <w:rPr>
      <w:rFonts w:ascii="Times New Roman" w:eastAsia="Times New Roman" w:hAnsi="Times New Roman" w:cs="Times New Roman"/>
      <w:sz w:val="24"/>
      <w:szCs w:val="20"/>
      <w:lang w:eastAsia="ru-RU" w:bidi="ru-RU"/>
    </w:rPr>
  </w:style>
  <w:style w:type="character" w:customStyle="1" w:styleId="40">
    <w:name w:val="Заголовок 4 Знак"/>
    <w:aliases w:val="Level 2 - a Знак"/>
    <w:basedOn w:val="a0"/>
    <w:link w:val="4"/>
    <w:uiPriority w:val="9"/>
    <w:rsid w:val="0073427F"/>
    <w:rPr>
      <w:rFonts w:ascii="Times New Roman" w:eastAsia="Times New Roman" w:hAnsi="Times New Roman" w:cs="Times New Roman"/>
      <w:sz w:val="24"/>
      <w:szCs w:val="20"/>
      <w:lang w:eastAsia="ru-RU" w:bidi="ru-RU"/>
    </w:rPr>
  </w:style>
  <w:style w:type="character" w:customStyle="1" w:styleId="50">
    <w:name w:val="Заголовок 5 Знак"/>
    <w:aliases w:val="Level 3 - i Знак"/>
    <w:basedOn w:val="a0"/>
    <w:link w:val="5"/>
    <w:uiPriority w:val="9"/>
    <w:rsid w:val="0073427F"/>
    <w:rPr>
      <w:rFonts w:ascii="Times New Roman" w:eastAsia="Times New Roman" w:hAnsi="Times New Roman" w:cs="Times New Roman"/>
      <w:sz w:val="24"/>
      <w:szCs w:val="20"/>
      <w:lang w:eastAsia="ru-RU" w:bidi="ru-RU"/>
    </w:rPr>
  </w:style>
  <w:style w:type="character" w:customStyle="1" w:styleId="60">
    <w:name w:val="Заголовок 6 Знак"/>
    <w:aliases w:val="Legal Level 1. Знак"/>
    <w:basedOn w:val="a0"/>
    <w:link w:val="6"/>
    <w:uiPriority w:val="9"/>
    <w:rsid w:val="0073427F"/>
    <w:rPr>
      <w:rFonts w:ascii="Times New Roman" w:eastAsia="Times New Roman" w:hAnsi="Times New Roman" w:cs="Times New Roman"/>
      <w:sz w:val="24"/>
      <w:szCs w:val="20"/>
      <w:lang w:eastAsia="ru-RU" w:bidi="ru-RU"/>
    </w:rPr>
  </w:style>
  <w:style w:type="character" w:customStyle="1" w:styleId="70">
    <w:name w:val="Заголовок 7 Знак"/>
    <w:aliases w:val="Legal Level 1.1. Знак"/>
    <w:basedOn w:val="a0"/>
    <w:link w:val="7"/>
    <w:uiPriority w:val="9"/>
    <w:rsid w:val="0073427F"/>
    <w:rPr>
      <w:rFonts w:ascii="Times New Roman" w:eastAsia="Times New Roman" w:hAnsi="Times New Roman" w:cs="Times New Roman"/>
      <w:sz w:val="24"/>
      <w:szCs w:val="20"/>
      <w:lang w:eastAsia="ru-RU" w:bidi="ru-RU"/>
    </w:rPr>
  </w:style>
  <w:style w:type="character" w:customStyle="1" w:styleId="80">
    <w:name w:val="Заголовок 8 Знак"/>
    <w:aliases w:val="Legal Level 1.1.1. Знак"/>
    <w:basedOn w:val="a0"/>
    <w:link w:val="8"/>
    <w:uiPriority w:val="9"/>
    <w:rsid w:val="0073427F"/>
    <w:rPr>
      <w:rFonts w:ascii="Times New Roman" w:eastAsia="Times New Roman" w:hAnsi="Times New Roman" w:cs="Times New Roman"/>
      <w:sz w:val="24"/>
      <w:szCs w:val="20"/>
      <w:lang w:eastAsia="ru-RU" w:bidi="ru-RU"/>
    </w:rPr>
  </w:style>
  <w:style w:type="character" w:customStyle="1" w:styleId="90">
    <w:name w:val="Заголовок 9 Знак"/>
    <w:aliases w:val="Legal Level 1.1.1.1. Знак"/>
    <w:basedOn w:val="a0"/>
    <w:link w:val="9"/>
    <w:uiPriority w:val="9"/>
    <w:rsid w:val="0073427F"/>
    <w:rPr>
      <w:rFonts w:ascii="Times New Roman" w:eastAsia="Times New Roman" w:hAnsi="Times New Roman" w:cs="Times New Roman"/>
      <w:sz w:val="24"/>
      <w:szCs w:val="20"/>
      <w:lang w:eastAsia="ru-RU" w:bidi="ru-RU"/>
    </w:rPr>
  </w:style>
  <w:style w:type="numbering" w:customStyle="1" w:styleId="11">
    <w:name w:val="Нет списка1"/>
    <w:next w:val="a2"/>
    <w:uiPriority w:val="99"/>
    <w:semiHidden/>
    <w:unhideWhenUsed/>
    <w:rsid w:val="0073427F"/>
  </w:style>
  <w:style w:type="paragraph" w:customStyle="1" w:styleId="1colforentypo">
    <w:name w:val="1col for entypo"/>
    <w:rsid w:val="0073427F"/>
    <w:pPr>
      <w:widowControl w:val="0"/>
      <w:tabs>
        <w:tab w:val="left" w:pos="8220"/>
      </w:tabs>
      <w:autoSpaceDE w:val="0"/>
      <w:autoSpaceDN w:val="0"/>
      <w:adjustRightInd w:val="0"/>
      <w:spacing w:after="0" w:line="240" w:lineRule="auto"/>
    </w:pPr>
    <w:rPr>
      <w:rFonts w:ascii="Tahoma" w:eastAsia="Times New Roman" w:hAnsi="Tahoma" w:cs="Tahoma"/>
      <w:b/>
      <w:bCs/>
      <w:color w:val="000000"/>
      <w:sz w:val="24"/>
      <w:szCs w:val="24"/>
      <w:lang w:eastAsia="ru-RU" w:bidi="ru-RU"/>
    </w:rPr>
  </w:style>
  <w:style w:type="paragraph" w:customStyle="1" w:styleId="2colswithnote">
    <w:name w:val="2cols with note"/>
    <w:uiPriority w:val="99"/>
    <w:rsid w:val="0073427F"/>
    <w:pPr>
      <w:widowControl w:val="0"/>
      <w:tabs>
        <w:tab w:val="left" w:pos="5669"/>
        <w:tab w:val="left" w:pos="6236"/>
        <w:tab w:val="left" w:pos="7653"/>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paragraph" w:customStyle="1" w:styleId="3columns">
    <w:name w:val="3columns"/>
    <w:uiPriority w:val="99"/>
    <w:rsid w:val="0073427F"/>
    <w:pPr>
      <w:widowControl w:val="0"/>
      <w:tabs>
        <w:tab w:val="left" w:pos="566"/>
        <w:tab w:val="left" w:pos="5385"/>
        <w:tab w:val="left" w:pos="6803"/>
        <w:tab w:val="left" w:pos="8220"/>
      </w:tabs>
      <w:autoSpaceDE w:val="0"/>
      <w:autoSpaceDN w:val="0"/>
      <w:adjustRightInd w:val="0"/>
      <w:spacing w:after="0" w:line="240" w:lineRule="auto"/>
    </w:pPr>
    <w:rPr>
      <w:rFonts w:ascii="Tahoma" w:eastAsia="Times New Roman" w:hAnsi="Tahoma" w:cs="Tahoma"/>
      <w:color w:val="000000"/>
      <w:sz w:val="24"/>
      <w:szCs w:val="24"/>
      <w:lang w:eastAsia="ru-RU" w:bidi="ru-RU"/>
    </w:rPr>
  </w:style>
  <w:style w:type="paragraph" w:customStyle="1" w:styleId="DisplayOnly">
    <w:name w:val="DisplayOnly"/>
    <w:uiPriority w:val="99"/>
    <w:rsid w:val="0073427F"/>
    <w:pPr>
      <w:widowControl w:val="0"/>
      <w:autoSpaceDE w:val="0"/>
      <w:autoSpaceDN w:val="0"/>
      <w:adjustRightInd w:val="0"/>
      <w:spacing w:after="0" w:line="240" w:lineRule="auto"/>
    </w:pPr>
    <w:rPr>
      <w:rFonts w:ascii="Tahoma" w:eastAsia="Times New Roman" w:hAnsi="Tahoma" w:cs="Tahoma"/>
      <w:i/>
      <w:iCs/>
      <w:color w:val="000000"/>
      <w:sz w:val="18"/>
      <w:szCs w:val="18"/>
      <w:lang w:eastAsia="ru-RU" w:bidi="ru-RU"/>
    </w:rPr>
  </w:style>
  <w:style w:type="paragraph" w:customStyle="1" w:styleId="Headerpolicy">
    <w:name w:val="Header policy"/>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Policy">
    <w:name w:val="Heading Policy"/>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line1">
    <w:name w:val="Heading line 1"/>
    <w:uiPriority w:val="99"/>
    <w:rsid w:val="0073427F"/>
    <w:pPr>
      <w:widowControl w:val="0"/>
      <w:autoSpaceDE w:val="0"/>
      <w:autoSpaceDN w:val="0"/>
      <w:adjustRightInd w:val="0"/>
      <w:spacing w:after="0" w:line="240" w:lineRule="auto"/>
    </w:pPr>
    <w:rPr>
      <w:rFonts w:ascii="Tahoma" w:eastAsia="Times New Roman" w:hAnsi="Tahoma" w:cs="Tahoma"/>
      <w:b/>
      <w:bCs/>
      <w:color w:val="000000"/>
      <w:sz w:val="28"/>
      <w:szCs w:val="28"/>
      <w:lang w:eastAsia="ru-RU" w:bidi="ru-RU"/>
    </w:rPr>
  </w:style>
  <w:style w:type="paragraph" w:customStyle="1" w:styleId="Headingline2">
    <w:name w:val="Heading line 2"/>
    <w:uiPriority w:val="99"/>
    <w:rsid w:val="0073427F"/>
    <w:pPr>
      <w:widowControl w:val="0"/>
      <w:autoSpaceDE w:val="0"/>
      <w:autoSpaceDN w:val="0"/>
      <w:adjustRightInd w:val="0"/>
      <w:spacing w:after="0" w:line="240" w:lineRule="auto"/>
    </w:pPr>
    <w:rPr>
      <w:rFonts w:ascii="Tahoma" w:eastAsia="Times New Roman" w:hAnsi="Tahoma" w:cs="Tahoma"/>
      <w:color w:val="000000"/>
      <w:sz w:val="28"/>
      <w:szCs w:val="28"/>
      <w:lang w:eastAsia="ru-RU" w:bidi="ru-RU"/>
    </w:rPr>
  </w:style>
  <w:style w:type="paragraph" w:customStyle="1" w:styleId="Headingline3">
    <w:name w:val="Heading line 3"/>
    <w:uiPriority w:val="99"/>
    <w:rsid w:val="0073427F"/>
    <w:pPr>
      <w:widowControl w:val="0"/>
      <w:autoSpaceDE w:val="0"/>
      <w:autoSpaceDN w:val="0"/>
      <w:adjustRightInd w:val="0"/>
      <w:spacing w:after="0" w:line="240" w:lineRule="auto"/>
    </w:pPr>
    <w:rPr>
      <w:rFonts w:ascii="Tahoma" w:eastAsia="Times New Roman" w:hAnsi="Tahoma" w:cs="Tahoma"/>
      <w:color w:val="000000"/>
      <w:sz w:val="24"/>
      <w:szCs w:val="24"/>
      <w:lang w:eastAsia="ru-RU" w:bidi="ru-RU"/>
    </w:rPr>
  </w:style>
  <w:style w:type="paragraph" w:customStyle="1" w:styleId="Headingpolicynotes">
    <w:name w:val="Heading policy notes"/>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sign">
    <w:name w:val="Heading sign"/>
    <w:uiPriority w:val="99"/>
    <w:rsid w:val="0073427F"/>
    <w:pPr>
      <w:widowControl w:val="0"/>
      <w:autoSpaceDE w:val="0"/>
      <w:autoSpaceDN w:val="0"/>
      <w:adjustRightInd w:val="0"/>
      <w:spacing w:after="0" w:line="240" w:lineRule="auto"/>
      <w:jc w:val="right"/>
    </w:pPr>
    <w:rPr>
      <w:rFonts w:ascii="Tahoma" w:eastAsia="Times New Roman" w:hAnsi="Tahoma" w:cs="Tahoma"/>
      <w:color w:val="000000"/>
      <w:sz w:val="18"/>
      <w:szCs w:val="18"/>
      <w:lang w:eastAsia="ru-RU" w:bidi="ru-RU"/>
    </w:rPr>
  </w:style>
  <w:style w:type="paragraph" w:customStyle="1" w:styleId="Headingsignbold">
    <w:name w:val="Heading sign bold"/>
    <w:uiPriority w:val="99"/>
    <w:rsid w:val="0073427F"/>
    <w:pPr>
      <w:widowControl w:val="0"/>
      <w:autoSpaceDE w:val="0"/>
      <w:autoSpaceDN w:val="0"/>
      <w:adjustRightInd w:val="0"/>
      <w:spacing w:after="0" w:line="240" w:lineRule="auto"/>
      <w:ind w:firstLine="141"/>
      <w:jc w:val="right"/>
    </w:pPr>
    <w:rPr>
      <w:rFonts w:ascii="Tahoma" w:eastAsia="Times New Roman" w:hAnsi="Tahoma" w:cs="Tahoma"/>
      <w:b/>
      <w:bCs/>
      <w:color w:val="000000"/>
      <w:sz w:val="18"/>
      <w:szCs w:val="18"/>
      <w:lang w:eastAsia="ru-RU" w:bidi="ru-RU"/>
    </w:rPr>
  </w:style>
  <w:style w:type="paragraph" w:customStyle="1" w:styleId="Headingyear">
    <w:name w:val="Heading year"/>
    <w:uiPriority w:val="99"/>
    <w:rsid w:val="0073427F"/>
    <w:pPr>
      <w:widowControl w:val="0"/>
      <w:autoSpaceDE w:val="0"/>
      <w:autoSpaceDN w:val="0"/>
      <w:adjustRightInd w:val="0"/>
      <w:spacing w:after="0" w:line="240" w:lineRule="auto"/>
      <w:jc w:val="right"/>
    </w:pPr>
    <w:rPr>
      <w:rFonts w:ascii="Tahoma" w:eastAsia="Times New Roman" w:hAnsi="Tahoma" w:cs="Tahoma"/>
      <w:color w:val="000000"/>
      <w:sz w:val="18"/>
      <w:szCs w:val="18"/>
      <w:lang w:eastAsia="ru-RU" w:bidi="ru-RU"/>
    </w:rPr>
  </w:style>
  <w:style w:type="paragraph" w:customStyle="1" w:styleId="Headingyearbold">
    <w:name w:val="Heading year bold"/>
    <w:uiPriority w:val="99"/>
    <w:rsid w:val="0073427F"/>
    <w:pPr>
      <w:widowControl w:val="0"/>
      <w:autoSpaceDE w:val="0"/>
      <w:autoSpaceDN w:val="0"/>
      <w:adjustRightInd w:val="0"/>
      <w:spacing w:after="0" w:line="240" w:lineRule="auto"/>
      <w:jc w:val="right"/>
    </w:pPr>
    <w:rPr>
      <w:rFonts w:ascii="Tahoma" w:eastAsia="Times New Roman" w:hAnsi="Tahoma" w:cs="Tahoma"/>
      <w:b/>
      <w:bCs/>
      <w:color w:val="000000"/>
      <w:sz w:val="18"/>
      <w:szCs w:val="18"/>
      <w:lang w:eastAsia="ru-RU" w:bidi="ru-RU"/>
    </w:rPr>
  </w:style>
  <w:style w:type="paragraph" w:customStyle="1" w:styleId="Totalsline">
    <w:name w:val="Totals line"/>
    <w:uiPriority w:val="99"/>
    <w:rsid w:val="0073427F"/>
    <w:pPr>
      <w:widowControl w:val="0"/>
      <w:autoSpaceDE w:val="0"/>
      <w:autoSpaceDN w:val="0"/>
      <w:adjustRightInd w:val="0"/>
      <w:spacing w:after="0" w:line="360" w:lineRule="auto"/>
    </w:pPr>
    <w:rPr>
      <w:rFonts w:ascii="Tahoma" w:eastAsia="Times New Roman" w:hAnsi="Tahoma" w:cs="Tahoma"/>
      <w:b/>
      <w:bCs/>
      <w:color w:val="000000"/>
      <w:sz w:val="18"/>
      <w:szCs w:val="18"/>
      <w:lang w:eastAsia="ru-RU" w:bidi="ru-RU"/>
    </w:rPr>
  </w:style>
  <w:style w:type="paragraph" w:styleId="a3">
    <w:name w:val="header"/>
    <w:basedOn w:val="a"/>
    <w:link w:val="a4"/>
    <w:uiPriority w:val="99"/>
    <w:unhideWhenUsed/>
    <w:rsid w:val="0073427F"/>
    <w:pPr>
      <w:widowControl w:val="0"/>
      <w:tabs>
        <w:tab w:val="center" w:pos="4677"/>
        <w:tab w:val="right" w:pos="9355"/>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character" w:customStyle="1" w:styleId="a4">
    <w:name w:val="Верхний колонтитул Знак"/>
    <w:basedOn w:val="a0"/>
    <w:link w:val="a3"/>
    <w:uiPriority w:val="99"/>
    <w:rsid w:val="0073427F"/>
    <w:rPr>
      <w:rFonts w:ascii="Tahoma" w:eastAsia="Times New Roman" w:hAnsi="Tahoma" w:cs="Tahoma"/>
      <w:color w:val="000000"/>
      <w:sz w:val="18"/>
      <w:szCs w:val="18"/>
      <w:lang w:eastAsia="ru-RU" w:bidi="ru-RU"/>
    </w:rPr>
  </w:style>
  <w:style w:type="paragraph" w:styleId="a5">
    <w:name w:val="footer"/>
    <w:basedOn w:val="a"/>
    <w:link w:val="a6"/>
    <w:uiPriority w:val="99"/>
    <w:unhideWhenUsed/>
    <w:rsid w:val="0073427F"/>
    <w:pPr>
      <w:widowControl w:val="0"/>
      <w:tabs>
        <w:tab w:val="center" w:pos="4677"/>
        <w:tab w:val="right" w:pos="9355"/>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character" w:customStyle="1" w:styleId="a6">
    <w:name w:val="Нижний колонтитул Знак"/>
    <w:basedOn w:val="a0"/>
    <w:link w:val="a5"/>
    <w:uiPriority w:val="99"/>
    <w:rsid w:val="0073427F"/>
    <w:rPr>
      <w:rFonts w:ascii="Tahoma" w:eastAsia="Times New Roman" w:hAnsi="Tahoma" w:cs="Tahoma"/>
      <w:color w:val="000000"/>
      <w:sz w:val="18"/>
      <w:szCs w:val="18"/>
      <w:lang w:eastAsia="ru-RU" w:bidi="ru-RU"/>
    </w:rPr>
  </w:style>
  <w:style w:type="paragraph" w:customStyle="1" w:styleId="Headingpolicy2">
    <w:name w:val="Heading policy 2"/>
    <w:uiPriority w:val="99"/>
    <w:rsid w:val="0073427F"/>
    <w:pPr>
      <w:widowControl w:val="0"/>
      <w:tabs>
        <w:tab w:val="left" w:pos="425"/>
      </w:tabs>
      <w:autoSpaceDE w:val="0"/>
      <w:autoSpaceDN w:val="0"/>
      <w:adjustRightInd w:val="0"/>
      <w:spacing w:after="0" w:line="240" w:lineRule="auto"/>
    </w:pPr>
    <w:rPr>
      <w:rFonts w:ascii="Tahoma" w:eastAsia="Times New Roman" w:hAnsi="Tahoma" w:cs="Tahoma"/>
      <w:color w:val="000000"/>
      <w:sz w:val="18"/>
      <w:szCs w:val="18"/>
      <w:u w:val="single"/>
      <w:lang w:eastAsia="ru-RU" w:bidi="ru-RU"/>
    </w:rPr>
  </w:style>
  <w:style w:type="paragraph" w:customStyle="1" w:styleId="ABC-paragrahinNotes">
    <w:name w:val="ABC - paragrah in Notes"/>
    <w:link w:val="ABC-paragrahinNotesChar1"/>
    <w:qFormat/>
    <w:rsid w:val="0073427F"/>
    <w:pPr>
      <w:spacing w:after="240" w:line="240" w:lineRule="auto"/>
      <w:jc w:val="both"/>
    </w:pPr>
    <w:rPr>
      <w:rFonts w:ascii="Times New Roman" w:eastAsia="Times New Roman" w:hAnsi="Times New Roman" w:cs="Times New Roman"/>
      <w:sz w:val="20"/>
      <w:szCs w:val="20"/>
      <w:lang w:eastAsia="ru-RU" w:bidi="ru-RU"/>
    </w:rPr>
  </w:style>
  <w:style w:type="character" w:customStyle="1" w:styleId="ABC-paragrahinNotesChar1">
    <w:name w:val="ABC - paragrah in Notes Char1"/>
    <w:link w:val="ABC-paragrahinNotes"/>
    <w:locked/>
    <w:rsid w:val="0073427F"/>
    <w:rPr>
      <w:rFonts w:ascii="Times New Roman" w:eastAsia="Times New Roman" w:hAnsi="Times New Roman" w:cs="Times New Roman"/>
      <w:sz w:val="20"/>
      <w:szCs w:val="20"/>
      <w:lang w:eastAsia="ru-RU" w:bidi="ru-RU"/>
    </w:rPr>
  </w:style>
  <w:style w:type="paragraph" w:customStyle="1" w:styleId="Continued">
    <w:name w:val="Continued"/>
    <w:link w:val="ContinuedChar"/>
    <w:qFormat/>
    <w:rsid w:val="0073427F"/>
    <w:pPr>
      <w:keepNext/>
      <w:keepLines/>
      <w:tabs>
        <w:tab w:val="left" w:pos="567"/>
      </w:tabs>
      <w:spacing w:after="240" w:line="240" w:lineRule="auto"/>
      <w:ind w:left="567" w:hanging="567"/>
    </w:pPr>
    <w:rPr>
      <w:rFonts w:ascii="Times New Roman Bold" w:eastAsia="Times New Roman" w:hAnsi="Times New Roman Bold" w:cs="Times New Roman"/>
      <w:b/>
      <w:sz w:val="20"/>
      <w:szCs w:val="20"/>
      <w:lang w:eastAsia="ru-RU" w:bidi="ru-RU"/>
    </w:rPr>
  </w:style>
  <w:style w:type="character" w:customStyle="1" w:styleId="ContinuedChar">
    <w:name w:val="Continued Char"/>
    <w:link w:val="Continued"/>
    <w:locked/>
    <w:rsid w:val="0073427F"/>
    <w:rPr>
      <w:rFonts w:ascii="Times New Roman Bold" w:eastAsia="Times New Roman" w:hAnsi="Times New Roman Bold" w:cs="Times New Roman"/>
      <w:b/>
      <w:sz w:val="20"/>
      <w:szCs w:val="20"/>
      <w:lang w:eastAsia="ru-RU" w:bidi="ru-RU"/>
    </w:rPr>
  </w:style>
  <w:style w:type="paragraph" w:styleId="a7">
    <w:name w:val="Balloon Text"/>
    <w:basedOn w:val="a"/>
    <w:link w:val="a8"/>
    <w:uiPriority w:val="99"/>
    <w:semiHidden/>
    <w:unhideWhenUsed/>
    <w:rsid w:val="0073427F"/>
    <w:pPr>
      <w:widowControl w:val="0"/>
      <w:autoSpaceDE w:val="0"/>
      <w:autoSpaceDN w:val="0"/>
      <w:adjustRightInd w:val="0"/>
      <w:spacing w:after="0" w:line="240" w:lineRule="auto"/>
    </w:pPr>
    <w:rPr>
      <w:rFonts w:ascii="Tahoma" w:eastAsia="Times New Roman" w:hAnsi="Tahoma" w:cs="Tahoma"/>
      <w:color w:val="000000"/>
      <w:sz w:val="16"/>
      <w:szCs w:val="16"/>
      <w:lang w:eastAsia="ru-RU" w:bidi="ru-RU"/>
    </w:rPr>
  </w:style>
  <w:style w:type="character" w:customStyle="1" w:styleId="a8">
    <w:name w:val="Текст выноски Знак"/>
    <w:basedOn w:val="a0"/>
    <w:link w:val="a7"/>
    <w:uiPriority w:val="99"/>
    <w:semiHidden/>
    <w:rsid w:val="0073427F"/>
    <w:rPr>
      <w:rFonts w:ascii="Tahoma" w:eastAsia="Times New Roman" w:hAnsi="Tahoma" w:cs="Tahoma"/>
      <w:color w:val="000000"/>
      <w:sz w:val="16"/>
      <w:szCs w:val="16"/>
      <w:lang w:eastAsia="ru-RU" w:bidi="ru-RU"/>
    </w:rPr>
  </w:style>
  <w:style w:type="paragraph" w:customStyle="1" w:styleId="NormalText">
    <w:name w:val="Normal Text"/>
    <w:uiPriority w:val="99"/>
    <w:rsid w:val="0073427F"/>
    <w:pPr>
      <w:widowControl w:val="0"/>
      <w:autoSpaceDE w:val="0"/>
      <w:autoSpaceDN w:val="0"/>
      <w:adjustRightInd w:val="0"/>
      <w:spacing w:after="141" w:line="240" w:lineRule="auto"/>
      <w:ind w:left="283"/>
    </w:pPr>
    <w:rPr>
      <w:rFonts w:ascii="Arial" w:eastAsia="Times New Roman" w:hAnsi="Arial" w:cs="Arial"/>
      <w:color w:val="000000"/>
      <w:lang w:eastAsia="ru-RU" w:bidi="ru-RU"/>
    </w:rPr>
  </w:style>
  <w:style w:type="paragraph" w:styleId="a9">
    <w:name w:val="List Paragraph"/>
    <w:basedOn w:val="a"/>
    <w:uiPriority w:val="34"/>
    <w:qFormat/>
    <w:rsid w:val="0073427F"/>
    <w:pPr>
      <w:widowControl w:val="0"/>
      <w:autoSpaceDE w:val="0"/>
      <w:autoSpaceDN w:val="0"/>
      <w:adjustRightInd w:val="0"/>
      <w:spacing w:after="0" w:line="240" w:lineRule="auto"/>
      <w:ind w:left="720"/>
    </w:pPr>
    <w:rPr>
      <w:rFonts w:ascii="Tahoma" w:eastAsia="Times New Roman" w:hAnsi="Tahoma" w:cs="Tahoma"/>
      <w:color w:val="000000"/>
      <w:sz w:val="18"/>
      <w:szCs w:val="18"/>
      <w:lang w:eastAsia="ru-RU" w:bidi="ru-RU"/>
    </w:rPr>
  </w:style>
  <w:style w:type="paragraph" w:customStyle="1" w:styleId="Disclaimer">
    <w:name w:val="Disclaimer"/>
    <w:basedOn w:val="a"/>
    <w:link w:val="DisclaimerChar"/>
    <w:qFormat/>
    <w:rsid w:val="0073427F"/>
    <w:pPr>
      <w:spacing w:after="0" w:line="140" w:lineRule="atLeast"/>
    </w:pPr>
    <w:rPr>
      <w:rFonts w:ascii="Arial" w:eastAsia="Times New Roman" w:hAnsi="Arial" w:cs="Arial"/>
      <w:noProof/>
      <w:sz w:val="12"/>
      <w:lang w:eastAsia="ru-RU" w:bidi="ru-RU"/>
    </w:rPr>
  </w:style>
  <w:style w:type="character" w:customStyle="1" w:styleId="DisclaimerChar">
    <w:name w:val="Disclaimer Char"/>
    <w:link w:val="Disclaimer"/>
    <w:locked/>
    <w:rsid w:val="0073427F"/>
    <w:rPr>
      <w:rFonts w:ascii="Arial" w:eastAsia="Times New Roman" w:hAnsi="Arial" w:cs="Arial"/>
      <w:noProof/>
      <w:sz w:val="12"/>
      <w:lang w:eastAsia="ru-RU" w:bidi="ru-RU"/>
    </w:rPr>
  </w:style>
  <w:style w:type="paragraph" w:customStyle="1" w:styleId="PwCAddress">
    <w:name w:val="PwC Address"/>
    <w:basedOn w:val="a"/>
    <w:link w:val="PwCAddressChar"/>
    <w:qFormat/>
    <w:rsid w:val="0073427F"/>
    <w:pPr>
      <w:spacing w:after="0" w:line="200" w:lineRule="atLeast"/>
    </w:pPr>
    <w:rPr>
      <w:rFonts w:ascii="Georgia" w:eastAsia="Times New Roman" w:hAnsi="Georgia" w:cs="Times New Roman"/>
      <w:i/>
      <w:noProof/>
      <w:sz w:val="18"/>
      <w:lang w:eastAsia="ru-RU" w:bidi="ru-RU"/>
    </w:rPr>
  </w:style>
  <w:style w:type="character" w:customStyle="1" w:styleId="PwCAddressChar">
    <w:name w:val="PwC Address Char"/>
    <w:link w:val="PwCAddress"/>
    <w:locked/>
    <w:rsid w:val="0073427F"/>
    <w:rPr>
      <w:rFonts w:ascii="Georgia" w:eastAsia="Times New Roman" w:hAnsi="Georgia" w:cs="Times New Roman"/>
      <w:i/>
      <w:noProof/>
      <w:sz w:val="18"/>
      <w:lang w:eastAsia="ru-RU" w:bidi="ru-RU"/>
    </w:rPr>
  </w:style>
  <w:style w:type="numbering" w:customStyle="1" w:styleId="21">
    <w:name w:val="Нет списка2"/>
    <w:next w:val="a2"/>
    <w:uiPriority w:val="99"/>
    <w:semiHidden/>
    <w:unhideWhenUsed/>
    <w:rsid w:val="00743CE5"/>
  </w:style>
  <w:style w:type="numbering" w:customStyle="1" w:styleId="31">
    <w:name w:val="Нет списка3"/>
    <w:next w:val="a2"/>
    <w:uiPriority w:val="99"/>
    <w:semiHidden/>
    <w:unhideWhenUsed/>
    <w:rsid w:val="00743CE5"/>
  </w:style>
  <w:style w:type="paragraph" w:styleId="aa">
    <w:name w:val="Normal (Web)"/>
    <w:basedOn w:val="a"/>
    <w:uiPriority w:val="99"/>
    <w:rsid w:val="00743CE5"/>
    <w:pPr>
      <w:spacing w:before="100" w:beforeAutospacing="1" w:after="100" w:afterAutospacing="1" w:line="240" w:lineRule="auto"/>
    </w:pPr>
    <w:rPr>
      <w:rFonts w:ascii="Times New Roman" w:eastAsia="Times New Roman" w:hAnsi="Times New Roman" w:cs="Times New Roman"/>
      <w:color w:val="000000"/>
      <w:sz w:val="24"/>
      <w:szCs w:val="24"/>
      <w:lang w:eastAsia="ru-RU" w:bidi="ru-RU"/>
    </w:rPr>
  </w:style>
  <w:style w:type="paragraph" w:customStyle="1" w:styleId="BodyTxt1">
    <w:name w:val="Body Txt1"/>
    <w:uiPriority w:val="99"/>
    <w:rsid w:val="00743CE5"/>
    <w:pPr>
      <w:widowControl w:val="0"/>
      <w:autoSpaceDE w:val="0"/>
      <w:autoSpaceDN w:val="0"/>
      <w:adjustRightInd w:val="0"/>
      <w:spacing w:after="0" w:line="240" w:lineRule="auto"/>
      <w:jc w:val="both"/>
    </w:pPr>
    <w:rPr>
      <w:rFonts w:ascii="Tahoma" w:eastAsia="Times New Roman" w:hAnsi="Tahoma" w:cs="Tahoma"/>
      <w:color w:val="000000"/>
      <w:sz w:val="18"/>
      <w:szCs w:val="18"/>
      <w:lang w:eastAsia="ru-RU" w:bidi="ru-RU"/>
    </w:rPr>
  </w:style>
  <w:style w:type="paragraph" w:customStyle="1" w:styleId="Headingpolicya">
    <w:name w:val="Heading policy (a)"/>
    <w:uiPriority w:val="99"/>
    <w:rsid w:val="00743CE5"/>
    <w:pPr>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IFRSH2">
    <w:name w:val="IFRS H2"/>
    <w:uiPriority w:val="99"/>
    <w:rsid w:val="00743CE5"/>
    <w:pPr>
      <w:widowControl w:val="0"/>
      <w:autoSpaceDE w:val="0"/>
      <w:autoSpaceDN w:val="0"/>
      <w:adjustRightInd w:val="0"/>
      <w:spacing w:after="0" w:line="240" w:lineRule="auto"/>
    </w:pPr>
    <w:rPr>
      <w:rFonts w:ascii="Tahoma" w:eastAsia="Times New Roman" w:hAnsi="Tahoma" w:cs="Tahoma"/>
      <w:color w:val="000000"/>
      <w:sz w:val="18"/>
      <w:szCs w:val="18"/>
      <w:lang w:eastAsia="ru-RU" w:bidi="ru-RU"/>
    </w:rPr>
  </w:style>
  <w:style w:type="paragraph" w:customStyle="1" w:styleId="Keepwithnext">
    <w:name w:val="Keep with next"/>
    <w:uiPriority w:val="99"/>
    <w:rsid w:val="00743CE5"/>
    <w:pPr>
      <w:keepNext/>
      <w:widowControl w:val="0"/>
      <w:autoSpaceDE w:val="0"/>
      <w:autoSpaceDN w:val="0"/>
      <w:adjustRightInd w:val="0"/>
      <w:spacing w:after="0" w:line="240" w:lineRule="auto"/>
      <w:jc w:val="both"/>
    </w:pPr>
    <w:rPr>
      <w:rFonts w:ascii="Tahoma" w:eastAsia="Times New Roman" w:hAnsi="Tahoma" w:cs="Tahoma"/>
      <w:color w:val="000000"/>
      <w:sz w:val="18"/>
      <w:szCs w:val="18"/>
      <w:lang w:eastAsia="ru-RU" w:bidi="ru-RU"/>
    </w:rPr>
  </w:style>
  <w:style w:type="character" w:styleId="ab">
    <w:name w:val="annotation reference"/>
    <w:uiPriority w:val="99"/>
    <w:semiHidden/>
    <w:unhideWhenUsed/>
    <w:rsid w:val="00743CE5"/>
    <w:rPr>
      <w:sz w:val="16"/>
      <w:szCs w:val="16"/>
    </w:rPr>
  </w:style>
  <w:style w:type="paragraph" w:styleId="ac">
    <w:name w:val="annotation text"/>
    <w:basedOn w:val="a"/>
    <w:link w:val="ad"/>
    <w:uiPriority w:val="99"/>
    <w:semiHidden/>
    <w:unhideWhenUsed/>
    <w:rsid w:val="00743CE5"/>
    <w:pPr>
      <w:widowControl w:val="0"/>
      <w:autoSpaceDE w:val="0"/>
      <w:autoSpaceDN w:val="0"/>
      <w:adjustRightInd w:val="0"/>
      <w:spacing w:after="0" w:line="240" w:lineRule="auto"/>
    </w:pPr>
    <w:rPr>
      <w:rFonts w:ascii="Tahoma" w:eastAsia="Times New Roman" w:hAnsi="Tahoma" w:cs="Tahoma"/>
      <w:color w:val="000000"/>
      <w:sz w:val="20"/>
      <w:szCs w:val="20"/>
      <w:lang w:eastAsia="ru-RU" w:bidi="ru-RU"/>
    </w:rPr>
  </w:style>
  <w:style w:type="character" w:customStyle="1" w:styleId="ad">
    <w:name w:val="Текст примечания Знак"/>
    <w:basedOn w:val="a0"/>
    <w:link w:val="ac"/>
    <w:uiPriority w:val="99"/>
    <w:semiHidden/>
    <w:rsid w:val="00743CE5"/>
    <w:rPr>
      <w:rFonts w:ascii="Tahoma" w:eastAsia="Times New Roman" w:hAnsi="Tahoma" w:cs="Tahoma"/>
      <w:color w:val="000000"/>
      <w:sz w:val="20"/>
      <w:szCs w:val="20"/>
      <w:lang w:eastAsia="ru-RU" w:bidi="ru-RU"/>
    </w:rPr>
  </w:style>
  <w:style w:type="paragraph" w:styleId="ae">
    <w:name w:val="annotation subject"/>
    <w:basedOn w:val="ac"/>
    <w:next w:val="ac"/>
    <w:link w:val="af"/>
    <w:uiPriority w:val="99"/>
    <w:semiHidden/>
    <w:unhideWhenUsed/>
    <w:rsid w:val="00743CE5"/>
    <w:rPr>
      <w:b/>
      <w:bCs/>
    </w:rPr>
  </w:style>
  <w:style w:type="character" w:customStyle="1" w:styleId="af">
    <w:name w:val="Тема примечания Знак"/>
    <w:basedOn w:val="ad"/>
    <w:link w:val="ae"/>
    <w:uiPriority w:val="99"/>
    <w:semiHidden/>
    <w:rsid w:val="00743CE5"/>
    <w:rPr>
      <w:rFonts w:ascii="Tahoma" w:eastAsia="Times New Roman" w:hAnsi="Tahoma" w:cs="Tahoma"/>
      <w:b/>
      <w:bCs/>
      <w:color w:val="000000"/>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Section Heading"/>
    <w:basedOn w:val="a"/>
    <w:next w:val="2"/>
    <w:link w:val="10"/>
    <w:uiPriority w:val="9"/>
    <w:qFormat/>
    <w:rsid w:val="0073427F"/>
    <w:pPr>
      <w:keepNext/>
      <w:keepLines/>
      <w:pageBreakBefore/>
      <w:numPr>
        <w:numId w:val="5"/>
      </w:numPr>
      <w:spacing w:after="242" w:line="410" w:lineRule="atLeast"/>
      <w:outlineLvl w:val="0"/>
    </w:pPr>
    <w:rPr>
      <w:rFonts w:ascii="Times New Roman" w:eastAsia="Times New Roman" w:hAnsi="Times New Roman" w:cs="Times New Roman"/>
      <w:b/>
      <w:kern w:val="28"/>
      <w:sz w:val="36"/>
      <w:szCs w:val="20"/>
      <w:lang w:eastAsia="ru-RU" w:bidi="ru-RU"/>
    </w:rPr>
  </w:style>
  <w:style w:type="paragraph" w:styleId="2">
    <w:name w:val="heading 2"/>
    <w:aliases w:val="Reset numbering"/>
    <w:basedOn w:val="a"/>
    <w:next w:val="3"/>
    <w:link w:val="20"/>
    <w:uiPriority w:val="9"/>
    <w:qFormat/>
    <w:rsid w:val="0073427F"/>
    <w:pPr>
      <w:numPr>
        <w:ilvl w:val="1"/>
        <w:numId w:val="5"/>
      </w:numPr>
      <w:spacing w:after="0" w:line="290" w:lineRule="atLeast"/>
      <w:outlineLvl w:val="1"/>
    </w:pPr>
    <w:rPr>
      <w:rFonts w:ascii="Times New Roman" w:eastAsia="Times New Roman" w:hAnsi="Times New Roman" w:cs="Times New Roman"/>
      <w:sz w:val="24"/>
      <w:szCs w:val="20"/>
      <w:lang w:eastAsia="ru-RU" w:bidi="ru-RU"/>
    </w:rPr>
  </w:style>
  <w:style w:type="paragraph" w:styleId="3">
    <w:name w:val="heading 3"/>
    <w:aliases w:val="Level 1 - 1"/>
    <w:basedOn w:val="a"/>
    <w:link w:val="30"/>
    <w:uiPriority w:val="9"/>
    <w:qFormat/>
    <w:rsid w:val="0073427F"/>
    <w:pPr>
      <w:numPr>
        <w:ilvl w:val="2"/>
        <w:numId w:val="5"/>
      </w:numPr>
      <w:spacing w:after="0" w:line="290" w:lineRule="atLeast"/>
      <w:outlineLvl w:val="2"/>
    </w:pPr>
    <w:rPr>
      <w:rFonts w:ascii="Times New Roman" w:eastAsia="Times New Roman" w:hAnsi="Times New Roman" w:cs="Times New Roman"/>
      <w:sz w:val="24"/>
      <w:szCs w:val="20"/>
      <w:lang w:eastAsia="ru-RU" w:bidi="ru-RU"/>
    </w:rPr>
  </w:style>
  <w:style w:type="paragraph" w:styleId="4">
    <w:name w:val="heading 4"/>
    <w:aliases w:val="Level 2 - a"/>
    <w:basedOn w:val="a"/>
    <w:link w:val="40"/>
    <w:uiPriority w:val="9"/>
    <w:qFormat/>
    <w:rsid w:val="0073427F"/>
    <w:pPr>
      <w:numPr>
        <w:ilvl w:val="3"/>
        <w:numId w:val="5"/>
      </w:numPr>
      <w:spacing w:after="0" w:line="290" w:lineRule="atLeast"/>
      <w:outlineLvl w:val="3"/>
    </w:pPr>
    <w:rPr>
      <w:rFonts w:ascii="Times New Roman" w:eastAsia="Times New Roman" w:hAnsi="Times New Roman" w:cs="Times New Roman"/>
      <w:sz w:val="24"/>
      <w:szCs w:val="20"/>
      <w:lang w:eastAsia="ru-RU" w:bidi="ru-RU"/>
    </w:rPr>
  </w:style>
  <w:style w:type="paragraph" w:styleId="5">
    <w:name w:val="heading 5"/>
    <w:aliases w:val="Level 3 - i"/>
    <w:basedOn w:val="a"/>
    <w:link w:val="50"/>
    <w:uiPriority w:val="9"/>
    <w:qFormat/>
    <w:rsid w:val="0073427F"/>
    <w:pPr>
      <w:numPr>
        <w:ilvl w:val="4"/>
        <w:numId w:val="5"/>
      </w:numPr>
      <w:tabs>
        <w:tab w:val="left" w:pos="2160"/>
      </w:tabs>
      <w:spacing w:after="0" w:line="290" w:lineRule="atLeast"/>
      <w:outlineLvl w:val="4"/>
    </w:pPr>
    <w:rPr>
      <w:rFonts w:ascii="Times New Roman" w:eastAsia="Times New Roman" w:hAnsi="Times New Roman" w:cs="Times New Roman"/>
      <w:sz w:val="24"/>
      <w:szCs w:val="20"/>
      <w:lang w:eastAsia="ru-RU" w:bidi="ru-RU"/>
    </w:rPr>
  </w:style>
  <w:style w:type="paragraph" w:styleId="6">
    <w:name w:val="heading 6"/>
    <w:aliases w:val="Legal Level 1."/>
    <w:basedOn w:val="a"/>
    <w:link w:val="60"/>
    <w:uiPriority w:val="9"/>
    <w:qFormat/>
    <w:rsid w:val="0073427F"/>
    <w:pPr>
      <w:numPr>
        <w:ilvl w:val="5"/>
        <w:numId w:val="5"/>
      </w:numPr>
      <w:spacing w:after="0" w:line="290" w:lineRule="atLeast"/>
      <w:outlineLvl w:val="5"/>
    </w:pPr>
    <w:rPr>
      <w:rFonts w:ascii="Times New Roman" w:eastAsia="Times New Roman" w:hAnsi="Times New Roman" w:cs="Times New Roman"/>
      <w:sz w:val="24"/>
      <w:szCs w:val="20"/>
      <w:lang w:eastAsia="ru-RU" w:bidi="ru-RU"/>
    </w:rPr>
  </w:style>
  <w:style w:type="paragraph" w:styleId="7">
    <w:name w:val="heading 7"/>
    <w:aliases w:val="Legal Level 1.1."/>
    <w:basedOn w:val="a"/>
    <w:next w:val="a"/>
    <w:link w:val="70"/>
    <w:uiPriority w:val="9"/>
    <w:qFormat/>
    <w:rsid w:val="0073427F"/>
    <w:pPr>
      <w:numPr>
        <w:ilvl w:val="6"/>
        <w:numId w:val="5"/>
      </w:numPr>
      <w:spacing w:after="0" w:line="290" w:lineRule="atLeast"/>
      <w:outlineLvl w:val="6"/>
    </w:pPr>
    <w:rPr>
      <w:rFonts w:ascii="Times New Roman" w:eastAsia="Times New Roman" w:hAnsi="Times New Roman" w:cs="Times New Roman"/>
      <w:sz w:val="24"/>
      <w:szCs w:val="20"/>
      <w:lang w:eastAsia="ru-RU" w:bidi="ru-RU"/>
    </w:rPr>
  </w:style>
  <w:style w:type="paragraph" w:styleId="8">
    <w:name w:val="heading 8"/>
    <w:aliases w:val="Legal Level 1.1.1."/>
    <w:basedOn w:val="a"/>
    <w:next w:val="a"/>
    <w:link w:val="80"/>
    <w:uiPriority w:val="9"/>
    <w:qFormat/>
    <w:rsid w:val="0073427F"/>
    <w:pPr>
      <w:numPr>
        <w:ilvl w:val="7"/>
        <w:numId w:val="5"/>
      </w:numPr>
      <w:spacing w:after="0" w:line="290" w:lineRule="atLeast"/>
      <w:outlineLvl w:val="7"/>
    </w:pPr>
    <w:rPr>
      <w:rFonts w:ascii="Times New Roman" w:eastAsia="Times New Roman" w:hAnsi="Times New Roman" w:cs="Times New Roman"/>
      <w:sz w:val="24"/>
      <w:szCs w:val="20"/>
      <w:lang w:eastAsia="ru-RU" w:bidi="ru-RU"/>
    </w:rPr>
  </w:style>
  <w:style w:type="paragraph" w:styleId="9">
    <w:name w:val="heading 9"/>
    <w:aliases w:val="Legal Level 1.1.1.1."/>
    <w:basedOn w:val="a"/>
    <w:next w:val="a"/>
    <w:link w:val="90"/>
    <w:uiPriority w:val="9"/>
    <w:qFormat/>
    <w:rsid w:val="0073427F"/>
    <w:pPr>
      <w:numPr>
        <w:ilvl w:val="8"/>
        <w:numId w:val="5"/>
      </w:numPr>
      <w:spacing w:after="0" w:line="290" w:lineRule="atLeast"/>
      <w:outlineLvl w:val="8"/>
    </w:pPr>
    <w:rPr>
      <w:rFonts w:ascii="Times New Roman" w:eastAsia="Times New Roman" w:hAnsi="Times New Roman" w:cs="Times New Roman"/>
      <w:sz w:val="24"/>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ection Heading Знак"/>
    <w:basedOn w:val="a0"/>
    <w:link w:val="1"/>
    <w:uiPriority w:val="9"/>
    <w:rsid w:val="0073427F"/>
    <w:rPr>
      <w:rFonts w:ascii="Times New Roman" w:eastAsia="Times New Roman" w:hAnsi="Times New Roman" w:cs="Times New Roman"/>
      <w:b/>
      <w:kern w:val="28"/>
      <w:sz w:val="36"/>
      <w:szCs w:val="20"/>
      <w:lang w:eastAsia="ru-RU" w:bidi="ru-RU"/>
    </w:rPr>
  </w:style>
  <w:style w:type="character" w:customStyle="1" w:styleId="20">
    <w:name w:val="Заголовок 2 Знак"/>
    <w:aliases w:val="Reset numbering Знак"/>
    <w:basedOn w:val="a0"/>
    <w:link w:val="2"/>
    <w:uiPriority w:val="9"/>
    <w:rsid w:val="0073427F"/>
    <w:rPr>
      <w:rFonts w:ascii="Times New Roman" w:eastAsia="Times New Roman" w:hAnsi="Times New Roman" w:cs="Times New Roman"/>
      <w:sz w:val="24"/>
      <w:szCs w:val="20"/>
      <w:lang w:eastAsia="ru-RU" w:bidi="ru-RU"/>
    </w:rPr>
  </w:style>
  <w:style w:type="character" w:customStyle="1" w:styleId="30">
    <w:name w:val="Заголовок 3 Знак"/>
    <w:aliases w:val="Level 1 - 1 Знак"/>
    <w:basedOn w:val="a0"/>
    <w:link w:val="3"/>
    <w:uiPriority w:val="9"/>
    <w:rsid w:val="0073427F"/>
    <w:rPr>
      <w:rFonts w:ascii="Times New Roman" w:eastAsia="Times New Roman" w:hAnsi="Times New Roman" w:cs="Times New Roman"/>
      <w:sz w:val="24"/>
      <w:szCs w:val="20"/>
      <w:lang w:eastAsia="ru-RU" w:bidi="ru-RU"/>
    </w:rPr>
  </w:style>
  <w:style w:type="character" w:customStyle="1" w:styleId="40">
    <w:name w:val="Заголовок 4 Знак"/>
    <w:aliases w:val="Level 2 - a Знак"/>
    <w:basedOn w:val="a0"/>
    <w:link w:val="4"/>
    <w:uiPriority w:val="9"/>
    <w:rsid w:val="0073427F"/>
    <w:rPr>
      <w:rFonts w:ascii="Times New Roman" w:eastAsia="Times New Roman" w:hAnsi="Times New Roman" w:cs="Times New Roman"/>
      <w:sz w:val="24"/>
      <w:szCs w:val="20"/>
      <w:lang w:eastAsia="ru-RU" w:bidi="ru-RU"/>
    </w:rPr>
  </w:style>
  <w:style w:type="character" w:customStyle="1" w:styleId="50">
    <w:name w:val="Заголовок 5 Знак"/>
    <w:aliases w:val="Level 3 - i Знак"/>
    <w:basedOn w:val="a0"/>
    <w:link w:val="5"/>
    <w:uiPriority w:val="9"/>
    <w:rsid w:val="0073427F"/>
    <w:rPr>
      <w:rFonts w:ascii="Times New Roman" w:eastAsia="Times New Roman" w:hAnsi="Times New Roman" w:cs="Times New Roman"/>
      <w:sz w:val="24"/>
      <w:szCs w:val="20"/>
      <w:lang w:eastAsia="ru-RU" w:bidi="ru-RU"/>
    </w:rPr>
  </w:style>
  <w:style w:type="character" w:customStyle="1" w:styleId="60">
    <w:name w:val="Заголовок 6 Знак"/>
    <w:aliases w:val="Legal Level 1. Знак"/>
    <w:basedOn w:val="a0"/>
    <w:link w:val="6"/>
    <w:uiPriority w:val="9"/>
    <w:rsid w:val="0073427F"/>
    <w:rPr>
      <w:rFonts w:ascii="Times New Roman" w:eastAsia="Times New Roman" w:hAnsi="Times New Roman" w:cs="Times New Roman"/>
      <w:sz w:val="24"/>
      <w:szCs w:val="20"/>
      <w:lang w:eastAsia="ru-RU" w:bidi="ru-RU"/>
    </w:rPr>
  </w:style>
  <w:style w:type="character" w:customStyle="1" w:styleId="70">
    <w:name w:val="Заголовок 7 Знак"/>
    <w:aliases w:val="Legal Level 1.1. Знак"/>
    <w:basedOn w:val="a0"/>
    <w:link w:val="7"/>
    <w:uiPriority w:val="9"/>
    <w:rsid w:val="0073427F"/>
    <w:rPr>
      <w:rFonts w:ascii="Times New Roman" w:eastAsia="Times New Roman" w:hAnsi="Times New Roman" w:cs="Times New Roman"/>
      <w:sz w:val="24"/>
      <w:szCs w:val="20"/>
      <w:lang w:eastAsia="ru-RU" w:bidi="ru-RU"/>
    </w:rPr>
  </w:style>
  <w:style w:type="character" w:customStyle="1" w:styleId="80">
    <w:name w:val="Заголовок 8 Знак"/>
    <w:aliases w:val="Legal Level 1.1.1. Знак"/>
    <w:basedOn w:val="a0"/>
    <w:link w:val="8"/>
    <w:uiPriority w:val="9"/>
    <w:rsid w:val="0073427F"/>
    <w:rPr>
      <w:rFonts w:ascii="Times New Roman" w:eastAsia="Times New Roman" w:hAnsi="Times New Roman" w:cs="Times New Roman"/>
      <w:sz w:val="24"/>
      <w:szCs w:val="20"/>
      <w:lang w:eastAsia="ru-RU" w:bidi="ru-RU"/>
    </w:rPr>
  </w:style>
  <w:style w:type="character" w:customStyle="1" w:styleId="90">
    <w:name w:val="Заголовок 9 Знак"/>
    <w:aliases w:val="Legal Level 1.1.1.1. Знак"/>
    <w:basedOn w:val="a0"/>
    <w:link w:val="9"/>
    <w:uiPriority w:val="9"/>
    <w:rsid w:val="0073427F"/>
    <w:rPr>
      <w:rFonts w:ascii="Times New Roman" w:eastAsia="Times New Roman" w:hAnsi="Times New Roman" w:cs="Times New Roman"/>
      <w:sz w:val="24"/>
      <w:szCs w:val="20"/>
      <w:lang w:eastAsia="ru-RU" w:bidi="ru-RU"/>
    </w:rPr>
  </w:style>
  <w:style w:type="numbering" w:customStyle="1" w:styleId="11">
    <w:name w:val="Нет списка1"/>
    <w:next w:val="a2"/>
    <w:uiPriority w:val="99"/>
    <w:semiHidden/>
    <w:unhideWhenUsed/>
    <w:rsid w:val="0073427F"/>
  </w:style>
  <w:style w:type="paragraph" w:customStyle="1" w:styleId="1colforentypo">
    <w:name w:val="1col for entypo"/>
    <w:rsid w:val="0073427F"/>
    <w:pPr>
      <w:widowControl w:val="0"/>
      <w:tabs>
        <w:tab w:val="left" w:pos="8220"/>
      </w:tabs>
      <w:autoSpaceDE w:val="0"/>
      <w:autoSpaceDN w:val="0"/>
      <w:adjustRightInd w:val="0"/>
      <w:spacing w:after="0" w:line="240" w:lineRule="auto"/>
    </w:pPr>
    <w:rPr>
      <w:rFonts w:ascii="Tahoma" w:eastAsia="Times New Roman" w:hAnsi="Tahoma" w:cs="Tahoma"/>
      <w:b/>
      <w:bCs/>
      <w:color w:val="000000"/>
      <w:sz w:val="24"/>
      <w:szCs w:val="24"/>
      <w:lang w:eastAsia="ru-RU" w:bidi="ru-RU"/>
    </w:rPr>
  </w:style>
  <w:style w:type="paragraph" w:customStyle="1" w:styleId="2colswithnote">
    <w:name w:val="2cols with note"/>
    <w:uiPriority w:val="99"/>
    <w:rsid w:val="0073427F"/>
    <w:pPr>
      <w:widowControl w:val="0"/>
      <w:tabs>
        <w:tab w:val="left" w:pos="5669"/>
        <w:tab w:val="left" w:pos="6236"/>
        <w:tab w:val="left" w:pos="7653"/>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paragraph" w:customStyle="1" w:styleId="3columns">
    <w:name w:val="3columns"/>
    <w:uiPriority w:val="99"/>
    <w:rsid w:val="0073427F"/>
    <w:pPr>
      <w:widowControl w:val="0"/>
      <w:tabs>
        <w:tab w:val="left" w:pos="566"/>
        <w:tab w:val="left" w:pos="5385"/>
        <w:tab w:val="left" w:pos="6803"/>
        <w:tab w:val="left" w:pos="8220"/>
      </w:tabs>
      <w:autoSpaceDE w:val="0"/>
      <w:autoSpaceDN w:val="0"/>
      <w:adjustRightInd w:val="0"/>
      <w:spacing w:after="0" w:line="240" w:lineRule="auto"/>
    </w:pPr>
    <w:rPr>
      <w:rFonts w:ascii="Tahoma" w:eastAsia="Times New Roman" w:hAnsi="Tahoma" w:cs="Tahoma"/>
      <w:color w:val="000000"/>
      <w:sz w:val="24"/>
      <w:szCs w:val="24"/>
      <w:lang w:eastAsia="ru-RU" w:bidi="ru-RU"/>
    </w:rPr>
  </w:style>
  <w:style w:type="paragraph" w:customStyle="1" w:styleId="DisplayOnly">
    <w:name w:val="DisplayOnly"/>
    <w:uiPriority w:val="99"/>
    <w:rsid w:val="0073427F"/>
    <w:pPr>
      <w:widowControl w:val="0"/>
      <w:autoSpaceDE w:val="0"/>
      <w:autoSpaceDN w:val="0"/>
      <w:adjustRightInd w:val="0"/>
      <w:spacing w:after="0" w:line="240" w:lineRule="auto"/>
    </w:pPr>
    <w:rPr>
      <w:rFonts w:ascii="Tahoma" w:eastAsia="Times New Roman" w:hAnsi="Tahoma" w:cs="Tahoma"/>
      <w:i/>
      <w:iCs/>
      <w:color w:val="000000"/>
      <w:sz w:val="18"/>
      <w:szCs w:val="18"/>
      <w:lang w:eastAsia="ru-RU" w:bidi="ru-RU"/>
    </w:rPr>
  </w:style>
  <w:style w:type="paragraph" w:customStyle="1" w:styleId="Headerpolicy">
    <w:name w:val="Header policy"/>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Policy">
    <w:name w:val="Heading Policy"/>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line1">
    <w:name w:val="Heading line 1"/>
    <w:uiPriority w:val="99"/>
    <w:rsid w:val="0073427F"/>
    <w:pPr>
      <w:widowControl w:val="0"/>
      <w:autoSpaceDE w:val="0"/>
      <w:autoSpaceDN w:val="0"/>
      <w:adjustRightInd w:val="0"/>
      <w:spacing w:after="0" w:line="240" w:lineRule="auto"/>
    </w:pPr>
    <w:rPr>
      <w:rFonts w:ascii="Tahoma" w:eastAsia="Times New Roman" w:hAnsi="Tahoma" w:cs="Tahoma"/>
      <w:b/>
      <w:bCs/>
      <w:color w:val="000000"/>
      <w:sz w:val="28"/>
      <w:szCs w:val="28"/>
      <w:lang w:eastAsia="ru-RU" w:bidi="ru-RU"/>
    </w:rPr>
  </w:style>
  <w:style w:type="paragraph" w:customStyle="1" w:styleId="Headingline2">
    <w:name w:val="Heading line 2"/>
    <w:uiPriority w:val="99"/>
    <w:rsid w:val="0073427F"/>
    <w:pPr>
      <w:widowControl w:val="0"/>
      <w:autoSpaceDE w:val="0"/>
      <w:autoSpaceDN w:val="0"/>
      <w:adjustRightInd w:val="0"/>
      <w:spacing w:after="0" w:line="240" w:lineRule="auto"/>
    </w:pPr>
    <w:rPr>
      <w:rFonts w:ascii="Tahoma" w:eastAsia="Times New Roman" w:hAnsi="Tahoma" w:cs="Tahoma"/>
      <w:color w:val="000000"/>
      <w:sz w:val="28"/>
      <w:szCs w:val="28"/>
      <w:lang w:eastAsia="ru-RU" w:bidi="ru-RU"/>
    </w:rPr>
  </w:style>
  <w:style w:type="paragraph" w:customStyle="1" w:styleId="Headingline3">
    <w:name w:val="Heading line 3"/>
    <w:uiPriority w:val="99"/>
    <w:rsid w:val="0073427F"/>
    <w:pPr>
      <w:widowControl w:val="0"/>
      <w:autoSpaceDE w:val="0"/>
      <w:autoSpaceDN w:val="0"/>
      <w:adjustRightInd w:val="0"/>
      <w:spacing w:after="0" w:line="240" w:lineRule="auto"/>
    </w:pPr>
    <w:rPr>
      <w:rFonts w:ascii="Tahoma" w:eastAsia="Times New Roman" w:hAnsi="Tahoma" w:cs="Tahoma"/>
      <w:color w:val="000000"/>
      <w:sz w:val="24"/>
      <w:szCs w:val="24"/>
      <w:lang w:eastAsia="ru-RU" w:bidi="ru-RU"/>
    </w:rPr>
  </w:style>
  <w:style w:type="paragraph" w:customStyle="1" w:styleId="Headingpolicynotes">
    <w:name w:val="Heading policy notes"/>
    <w:uiPriority w:val="99"/>
    <w:rsid w:val="0073427F"/>
    <w:pPr>
      <w:keepNext/>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Headingsign">
    <w:name w:val="Heading sign"/>
    <w:uiPriority w:val="99"/>
    <w:rsid w:val="0073427F"/>
    <w:pPr>
      <w:widowControl w:val="0"/>
      <w:autoSpaceDE w:val="0"/>
      <w:autoSpaceDN w:val="0"/>
      <w:adjustRightInd w:val="0"/>
      <w:spacing w:after="0" w:line="240" w:lineRule="auto"/>
      <w:jc w:val="right"/>
    </w:pPr>
    <w:rPr>
      <w:rFonts w:ascii="Tahoma" w:eastAsia="Times New Roman" w:hAnsi="Tahoma" w:cs="Tahoma"/>
      <w:color w:val="000000"/>
      <w:sz w:val="18"/>
      <w:szCs w:val="18"/>
      <w:lang w:eastAsia="ru-RU" w:bidi="ru-RU"/>
    </w:rPr>
  </w:style>
  <w:style w:type="paragraph" w:customStyle="1" w:styleId="Headingsignbold">
    <w:name w:val="Heading sign bold"/>
    <w:uiPriority w:val="99"/>
    <w:rsid w:val="0073427F"/>
    <w:pPr>
      <w:widowControl w:val="0"/>
      <w:autoSpaceDE w:val="0"/>
      <w:autoSpaceDN w:val="0"/>
      <w:adjustRightInd w:val="0"/>
      <w:spacing w:after="0" w:line="240" w:lineRule="auto"/>
      <w:ind w:firstLine="141"/>
      <w:jc w:val="right"/>
    </w:pPr>
    <w:rPr>
      <w:rFonts w:ascii="Tahoma" w:eastAsia="Times New Roman" w:hAnsi="Tahoma" w:cs="Tahoma"/>
      <w:b/>
      <w:bCs/>
      <w:color w:val="000000"/>
      <w:sz w:val="18"/>
      <w:szCs w:val="18"/>
      <w:lang w:eastAsia="ru-RU" w:bidi="ru-RU"/>
    </w:rPr>
  </w:style>
  <w:style w:type="paragraph" w:customStyle="1" w:styleId="Headingyear">
    <w:name w:val="Heading year"/>
    <w:uiPriority w:val="99"/>
    <w:rsid w:val="0073427F"/>
    <w:pPr>
      <w:widowControl w:val="0"/>
      <w:autoSpaceDE w:val="0"/>
      <w:autoSpaceDN w:val="0"/>
      <w:adjustRightInd w:val="0"/>
      <w:spacing w:after="0" w:line="240" w:lineRule="auto"/>
      <w:jc w:val="right"/>
    </w:pPr>
    <w:rPr>
      <w:rFonts w:ascii="Tahoma" w:eastAsia="Times New Roman" w:hAnsi="Tahoma" w:cs="Tahoma"/>
      <w:color w:val="000000"/>
      <w:sz w:val="18"/>
      <w:szCs w:val="18"/>
      <w:lang w:eastAsia="ru-RU" w:bidi="ru-RU"/>
    </w:rPr>
  </w:style>
  <w:style w:type="paragraph" w:customStyle="1" w:styleId="Headingyearbold">
    <w:name w:val="Heading year bold"/>
    <w:uiPriority w:val="99"/>
    <w:rsid w:val="0073427F"/>
    <w:pPr>
      <w:widowControl w:val="0"/>
      <w:autoSpaceDE w:val="0"/>
      <w:autoSpaceDN w:val="0"/>
      <w:adjustRightInd w:val="0"/>
      <w:spacing w:after="0" w:line="240" w:lineRule="auto"/>
      <w:jc w:val="right"/>
    </w:pPr>
    <w:rPr>
      <w:rFonts w:ascii="Tahoma" w:eastAsia="Times New Roman" w:hAnsi="Tahoma" w:cs="Tahoma"/>
      <w:b/>
      <w:bCs/>
      <w:color w:val="000000"/>
      <w:sz w:val="18"/>
      <w:szCs w:val="18"/>
      <w:lang w:eastAsia="ru-RU" w:bidi="ru-RU"/>
    </w:rPr>
  </w:style>
  <w:style w:type="paragraph" w:customStyle="1" w:styleId="Totalsline">
    <w:name w:val="Totals line"/>
    <w:uiPriority w:val="99"/>
    <w:rsid w:val="0073427F"/>
    <w:pPr>
      <w:widowControl w:val="0"/>
      <w:autoSpaceDE w:val="0"/>
      <w:autoSpaceDN w:val="0"/>
      <w:adjustRightInd w:val="0"/>
      <w:spacing w:after="0" w:line="360" w:lineRule="auto"/>
    </w:pPr>
    <w:rPr>
      <w:rFonts w:ascii="Tahoma" w:eastAsia="Times New Roman" w:hAnsi="Tahoma" w:cs="Tahoma"/>
      <w:b/>
      <w:bCs/>
      <w:color w:val="000000"/>
      <w:sz w:val="18"/>
      <w:szCs w:val="18"/>
      <w:lang w:eastAsia="ru-RU" w:bidi="ru-RU"/>
    </w:rPr>
  </w:style>
  <w:style w:type="paragraph" w:styleId="a3">
    <w:name w:val="header"/>
    <w:basedOn w:val="a"/>
    <w:link w:val="a4"/>
    <w:uiPriority w:val="99"/>
    <w:unhideWhenUsed/>
    <w:rsid w:val="0073427F"/>
    <w:pPr>
      <w:widowControl w:val="0"/>
      <w:tabs>
        <w:tab w:val="center" w:pos="4677"/>
        <w:tab w:val="right" w:pos="9355"/>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character" w:customStyle="1" w:styleId="a4">
    <w:name w:val="Верхний колонтитул Знак"/>
    <w:basedOn w:val="a0"/>
    <w:link w:val="a3"/>
    <w:uiPriority w:val="99"/>
    <w:rsid w:val="0073427F"/>
    <w:rPr>
      <w:rFonts w:ascii="Tahoma" w:eastAsia="Times New Roman" w:hAnsi="Tahoma" w:cs="Tahoma"/>
      <w:color w:val="000000"/>
      <w:sz w:val="18"/>
      <w:szCs w:val="18"/>
      <w:lang w:eastAsia="ru-RU" w:bidi="ru-RU"/>
    </w:rPr>
  </w:style>
  <w:style w:type="paragraph" w:styleId="a5">
    <w:name w:val="footer"/>
    <w:basedOn w:val="a"/>
    <w:link w:val="a6"/>
    <w:uiPriority w:val="99"/>
    <w:unhideWhenUsed/>
    <w:rsid w:val="0073427F"/>
    <w:pPr>
      <w:widowControl w:val="0"/>
      <w:tabs>
        <w:tab w:val="center" w:pos="4677"/>
        <w:tab w:val="right" w:pos="9355"/>
      </w:tabs>
      <w:autoSpaceDE w:val="0"/>
      <w:autoSpaceDN w:val="0"/>
      <w:adjustRightInd w:val="0"/>
      <w:spacing w:after="0" w:line="240" w:lineRule="auto"/>
    </w:pPr>
    <w:rPr>
      <w:rFonts w:ascii="Tahoma" w:eastAsia="Times New Roman" w:hAnsi="Tahoma" w:cs="Tahoma"/>
      <w:color w:val="000000"/>
      <w:sz w:val="18"/>
      <w:szCs w:val="18"/>
      <w:lang w:eastAsia="ru-RU" w:bidi="ru-RU"/>
    </w:rPr>
  </w:style>
  <w:style w:type="character" w:customStyle="1" w:styleId="a6">
    <w:name w:val="Нижний колонтитул Знак"/>
    <w:basedOn w:val="a0"/>
    <w:link w:val="a5"/>
    <w:uiPriority w:val="99"/>
    <w:rsid w:val="0073427F"/>
    <w:rPr>
      <w:rFonts w:ascii="Tahoma" w:eastAsia="Times New Roman" w:hAnsi="Tahoma" w:cs="Tahoma"/>
      <w:color w:val="000000"/>
      <w:sz w:val="18"/>
      <w:szCs w:val="18"/>
      <w:lang w:eastAsia="ru-RU" w:bidi="ru-RU"/>
    </w:rPr>
  </w:style>
  <w:style w:type="paragraph" w:customStyle="1" w:styleId="Headingpolicy2">
    <w:name w:val="Heading policy 2"/>
    <w:uiPriority w:val="99"/>
    <w:rsid w:val="0073427F"/>
    <w:pPr>
      <w:widowControl w:val="0"/>
      <w:tabs>
        <w:tab w:val="left" w:pos="425"/>
      </w:tabs>
      <w:autoSpaceDE w:val="0"/>
      <w:autoSpaceDN w:val="0"/>
      <w:adjustRightInd w:val="0"/>
      <w:spacing w:after="0" w:line="240" w:lineRule="auto"/>
    </w:pPr>
    <w:rPr>
      <w:rFonts w:ascii="Tahoma" w:eastAsia="Times New Roman" w:hAnsi="Tahoma" w:cs="Tahoma"/>
      <w:color w:val="000000"/>
      <w:sz w:val="18"/>
      <w:szCs w:val="18"/>
      <w:u w:val="single"/>
      <w:lang w:eastAsia="ru-RU" w:bidi="ru-RU"/>
    </w:rPr>
  </w:style>
  <w:style w:type="paragraph" w:customStyle="1" w:styleId="ABC-paragrahinNotes">
    <w:name w:val="ABC - paragrah in Notes"/>
    <w:link w:val="ABC-paragrahinNotesChar1"/>
    <w:qFormat/>
    <w:rsid w:val="0073427F"/>
    <w:pPr>
      <w:spacing w:after="240" w:line="240" w:lineRule="auto"/>
      <w:jc w:val="both"/>
    </w:pPr>
    <w:rPr>
      <w:rFonts w:ascii="Times New Roman" w:eastAsia="Times New Roman" w:hAnsi="Times New Roman" w:cs="Times New Roman"/>
      <w:sz w:val="20"/>
      <w:szCs w:val="20"/>
      <w:lang w:eastAsia="ru-RU" w:bidi="ru-RU"/>
    </w:rPr>
  </w:style>
  <w:style w:type="character" w:customStyle="1" w:styleId="ABC-paragrahinNotesChar1">
    <w:name w:val="ABC - paragrah in Notes Char1"/>
    <w:link w:val="ABC-paragrahinNotes"/>
    <w:locked/>
    <w:rsid w:val="0073427F"/>
    <w:rPr>
      <w:rFonts w:ascii="Times New Roman" w:eastAsia="Times New Roman" w:hAnsi="Times New Roman" w:cs="Times New Roman"/>
      <w:sz w:val="20"/>
      <w:szCs w:val="20"/>
      <w:lang w:eastAsia="ru-RU" w:bidi="ru-RU"/>
    </w:rPr>
  </w:style>
  <w:style w:type="paragraph" w:customStyle="1" w:styleId="Continued">
    <w:name w:val="Continued"/>
    <w:link w:val="ContinuedChar"/>
    <w:qFormat/>
    <w:rsid w:val="0073427F"/>
    <w:pPr>
      <w:keepNext/>
      <w:keepLines/>
      <w:tabs>
        <w:tab w:val="left" w:pos="567"/>
      </w:tabs>
      <w:spacing w:after="240" w:line="240" w:lineRule="auto"/>
      <w:ind w:left="567" w:hanging="567"/>
    </w:pPr>
    <w:rPr>
      <w:rFonts w:ascii="Times New Roman Bold" w:eastAsia="Times New Roman" w:hAnsi="Times New Roman Bold" w:cs="Times New Roman"/>
      <w:b/>
      <w:sz w:val="20"/>
      <w:szCs w:val="20"/>
      <w:lang w:eastAsia="ru-RU" w:bidi="ru-RU"/>
    </w:rPr>
  </w:style>
  <w:style w:type="character" w:customStyle="1" w:styleId="ContinuedChar">
    <w:name w:val="Continued Char"/>
    <w:link w:val="Continued"/>
    <w:locked/>
    <w:rsid w:val="0073427F"/>
    <w:rPr>
      <w:rFonts w:ascii="Times New Roman Bold" w:eastAsia="Times New Roman" w:hAnsi="Times New Roman Bold" w:cs="Times New Roman"/>
      <w:b/>
      <w:sz w:val="20"/>
      <w:szCs w:val="20"/>
      <w:lang w:eastAsia="ru-RU" w:bidi="ru-RU"/>
    </w:rPr>
  </w:style>
  <w:style w:type="paragraph" w:styleId="a7">
    <w:name w:val="Balloon Text"/>
    <w:basedOn w:val="a"/>
    <w:link w:val="a8"/>
    <w:uiPriority w:val="99"/>
    <w:semiHidden/>
    <w:unhideWhenUsed/>
    <w:rsid w:val="0073427F"/>
    <w:pPr>
      <w:widowControl w:val="0"/>
      <w:autoSpaceDE w:val="0"/>
      <w:autoSpaceDN w:val="0"/>
      <w:adjustRightInd w:val="0"/>
      <w:spacing w:after="0" w:line="240" w:lineRule="auto"/>
    </w:pPr>
    <w:rPr>
      <w:rFonts w:ascii="Tahoma" w:eastAsia="Times New Roman" w:hAnsi="Tahoma" w:cs="Tahoma"/>
      <w:color w:val="000000"/>
      <w:sz w:val="16"/>
      <w:szCs w:val="16"/>
      <w:lang w:eastAsia="ru-RU" w:bidi="ru-RU"/>
    </w:rPr>
  </w:style>
  <w:style w:type="character" w:customStyle="1" w:styleId="a8">
    <w:name w:val="Текст выноски Знак"/>
    <w:basedOn w:val="a0"/>
    <w:link w:val="a7"/>
    <w:uiPriority w:val="99"/>
    <w:semiHidden/>
    <w:rsid w:val="0073427F"/>
    <w:rPr>
      <w:rFonts w:ascii="Tahoma" w:eastAsia="Times New Roman" w:hAnsi="Tahoma" w:cs="Tahoma"/>
      <w:color w:val="000000"/>
      <w:sz w:val="16"/>
      <w:szCs w:val="16"/>
      <w:lang w:eastAsia="ru-RU" w:bidi="ru-RU"/>
    </w:rPr>
  </w:style>
  <w:style w:type="paragraph" w:customStyle="1" w:styleId="NormalText">
    <w:name w:val="Normal Text"/>
    <w:uiPriority w:val="99"/>
    <w:rsid w:val="0073427F"/>
    <w:pPr>
      <w:widowControl w:val="0"/>
      <w:autoSpaceDE w:val="0"/>
      <w:autoSpaceDN w:val="0"/>
      <w:adjustRightInd w:val="0"/>
      <w:spacing w:after="141" w:line="240" w:lineRule="auto"/>
      <w:ind w:left="283"/>
    </w:pPr>
    <w:rPr>
      <w:rFonts w:ascii="Arial" w:eastAsia="Times New Roman" w:hAnsi="Arial" w:cs="Arial"/>
      <w:color w:val="000000"/>
      <w:lang w:eastAsia="ru-RU" w:bidi="ru-RU"/>
    </w:rPr>
  </w:style>
  <w:style w:type="paragraph" w:styleId="a9">
    <w:name w:val="List Paragraph"/>
    <w:basedOn w:val="a"/>
    <w:uiPriority w:val="34"/>
    <w:qFormat/>
    <w:rsid w:val="0073427F"/>
    <w:pPr>
      <w:widowControl w:val="0"/>
      <w:autoSpaceDE w:val="0"/>
      <w:autoSpaceDN w:val="0"/>
      <w:adjustRightInd w:val="0"/>
      <w:spacing w:after="0" w:line="240" w:lineRule="auto"/>
      <w:ind w:left="720"/>
    </w:pPr>
    <w:rPr>
      <w:rFonts w:ascii="Tahoma" w:eastAsia="Times New Roman" w:hAnsi="Tahoma" w:cs="Tahoma"/>
      <w:color w:val="000000"/>
      <w:sz w:val="18"/>
      <w:szCs w:val="18"/>
      <w:lang w:eastAsia="ru-RU" w:bidi="ru-RU"/>
    </w:rPr>
  </w:style>
  <w:style w:type="paragraph" w:customStyle="1" w:styleId="Disclaimer">
    <w:name w:val="Disclaimer"/>
    <w:basedOn w:val="a"/>
    <w:link w:val="DisclaimerChar"/>
    <w:qFormat/>
    <w:rsid w:val="0073427F"/>
    <w:pPr>
      <w:spacing w:after="0" w:line="140" w:lineRule="atLeast"/>
    </w:pPr>
    <w:rPr>
      <w:rFonts w:ascii="Arial" w:eastAsia="Times New Roman" w:hAnsi="Arial" w:cs="Arial"/>
      <w:noProof/>
      <w:sz w:val="12"/>
      <w:lang w:eastAsia="ru-RU" w:bidi="ru-RU"/>
    </w:rPr>
  </w:style>
  <w:style w:type="character" w:customStyle="1" w:styleId="DisclaimerChar">
    <w:name w:val="Disclaimer Char"/>
    <w:link w:val="Disclaimer"/>
    <w:locked/>
    <w:rsid w:val="0073427F"/>
    <w:rPr>
      <w:rFonts w:ascii="Arial" w:eastAsia="Times New Roman" w:hAnsi="Arial" w:cs="Arial"/>
      <w:noProof/>
      <w:sz w:val="12"/>
      <w:lang w:eastAsia="ru-RU" w:bidi="ru-RU"/>
    </w:rPr>
  </w:style>
  <w:style w:type="paragraph" w:customStyle="1" w:styleId="PwCAddress">
    <w:name w:val="PwC Address"/>
    <w:basedOn w:val="a"/>
    <w:link w:val="PwCAddressChar"/>
    <w:qFormat/>
    <w:rsid w:val="0073427F"/>
    <w:pPr>
      <w:spacing w:after="0" w:line="200" w:lineRule="atLeast"/>
    </w:pPr>
    <w:rPr>
      <w:rFonts w:ascii="Georgia" w:eastAsia="Times New Roman" w:hAnsi="Georgia" w:cs="Times New Roman"/>
      <w:i/>
      <w:noProof/>
      <w:sz w:val="18"/>
      <w:lang w:eastAsia="ru-RU" w:bidi="ru-RU"/>
    </w:rPr>
  </w:style>
  <w:style w:type="character" w:customStyle="1" w:styleId="PwCAddressChar">
    <w:name w:val="PwC Address Char"/>
    <w:link w:val="PwCAddress"/>
    <w:locked/>
    <w:rsid w:val="0073427F"/>
    <w:rPr>
      <w:rFonts w:ascii="Georgia" w:eastAsia="Times New Roman" w:hAnsi="Georgia" w:cs="Times New Roman"/>
      <w:i/>
      <w:noProof/>
      <w:sz w:val="18"/>
      <w:lang w:eastAsia="ru-RU" w:bidi="ru-RU"/>
    </w:rPr>
  </w:style>
  <w:style w:type="numbering" w:customStyle="1" w:styleId="21">
    <w:name w:val="Нет списка2"/>
    <w:next w:val="a2"/>
    <w:uiPriority w:val="99"/>
    <w:semiHidden/>
    <w:unhideWhenUsed/>
    <w:rsid w:val="00743CE5"/>
  </w:style>
  <w:style w:type="numbering" w:customStyle="1" w:styleId="31">
    <w:name w:val="Нет списка3"/>
    <w:next w:val="a2"/>
    <w:uiPriority w:val="99"/>
    <w:semiHidden/>
    <w:unhideWhenUsed/>
    <w:rsid w:val="00743CE5"/>
  </w:style>
  <w:style w:type="paragraph" w:styleId="aa">
    <w:name w:val="Normal (Web)"/>
    <w:basedOn w:val="a"/>
    <w:uiPriority w:val="99"/>
    <w:rsid w:val="00743CE5"/>
    <w:pPr>
      <w:spacing w:before="100" w:beforeAutospacing="1" w:after="100" w:afterAutospacing="1" w:line="240" w:lineRule="auto"/>
    </w:pPr>
    <w:rPr>
      <w:rFonts w:ascii="Times New Roman" w:eastAsia="Times New Roman" w:hAnsi="Times New Roman" w:cs="Times New Roman"/>
      <w:color w:val="000000"/>
      <w:sz w:val="24"/>
      <w:szCs w:val="24"/>
      <w:lang w:eastAsia="ru-RU" w:bidi="ru-RU"/>
    </w:rPr>
  </w:style>
  <w:style w:type="paragraph" w:customStyle="1" w:styleId="BodyTxt1">
    <w:name w:val="Body Txt1"/>
    <w:uiPriority w:val="99"/>
    <w:rsid w:val="00743CE5"/>
    <w:pPr>
      <w:widowControl w:val="0"/>
      <w:autoSpaceDE w:val="0"/>
      <w:autoSpaceDN w:val="0"/>
      <w:adjustRightInd w:val="0"/>
      <w:spacing w:after="0" w:line="240" w:lineRule="auto"/>
      <w:jc w:val="both"/>
    </w:pPr>
    <w:rPr>
      <w:rFonts w:ascii="Tahoma" w:eastAsia="Times New Roman" w:hAnsi="Tahoma" w:cs="Tahoma"/>
      <w:color w:val="000000"/>
      <w:sz w:val="18"/>
      <w:szCs w:val="18"/>
      <w:lang w:eastAsia="ru-RU" w:bidi="ru-RU"/>
    </w:rPr>
  </w:style>
  <w:style w:type="paragraph" w:customStyle="1" w:styleId="Headingpolicya">
    <w:name w:val="Heading policy (a)"/>
    <w:uiPriority w:val="99"/>
    <w:rsid w:val="00743CE5"/>
    <w:pPr>
      <w:widowControl w:val="0"/>
      <w:autoSpaceDE w:val="0"/>
      <w:autoSpaceDN w:val="0"/>
      <w:adjustRightInd w:val="0"/>
      <w:spacing w:after="0" w:line="240" w:lineRule="auto"/>
    </w:pPr>
    <w:rPr>
      <w:rFonts w:ascii="Tahoma" w:eastAsia="Times New Roman" w:hAnsi="Tahoma" w:cs="Tahoma"/>
      <w:b/>
      <w:bCs/>
      <w:color w:val="000000"/>
      <w:sz w:val="18"/>
      <w:szCs w:val="18"/>
      <w:lang w:eastAsia="ru-RU" w:bidi="ru-RU"/>
    </w:rPr>
  </w:style>
  <w:style w:type="paragraph" w:customStyle="1" w:styleId="IFRSH2">
    <w:name w:val="IFRS H2"/>
    <w:uiPriority w:val="99"/>
    <w:rsid w:val="00743CE5"/>
    <w:pPr>
      <w:widowControl w:val="0"/>
      <w:autoSpaceDE w:val="0"/>
      <w:autoSpaceDN w:val="0"/>
      <w:adjustRightInd w:val="0"/>
      <w:spacing w:after="0" w:line="240" w:lineRule="auto"/>
    </w:pPr>
    <w:rPr>
      <w:rFonts w:ascii="Tahoma" w:eastAsia="Times New Roman" w:hAnsi="Tahoma" w:cs="Tahoma"/>
      <w:color w:val="000000"/>
      <w:sz w:val="18"/>
      <w:szCs w:val="18"/>
      <w:lang w:eastAsia="ru-RU" w:bidi="ru-RU"/>
    </w:rPr>
  </w:style>
  <w:style w:type="paragraph" w:customStyle="1" w:styleId="Keepwithnext">
    <w:name w:val="Keep with next"/>
    <w:uiPriority w:val="99"/>
    <w:rsid w:val="00743CE5"/>
    <w:pPr>
      <w:keepNext/>
      <w:widowControl w:val="0"/>
      <w:autoSpaceDE w:val="0"/>
      <w:autoSpaceDN w:val="0"/>
      <w:adjustRightInd w:val="0"/>
      <w:spacing w:after="0" w:line="240" w:lineRule="auto"/>
      <w:jc w:val="both"/>
    </w:pPr>
    <w:rPr>
      <w:rFonts w:ascii="Tahoma" w:eastAsia="Times New Roman" w:hAnsi="Tahoma" w:cs="Tahoma"/>
      <w:color w:val="000000"/>
      <w:sz w:val="18"/>
      <w:szCs w:val="18"/>
      <w:lang w:eastAsia="ru-RU" w:bidi="ru-RU"/>
    </w:rPr>
  </w:style>
  <w:style w:type="character" w:styleId="ab">
    <w:name w:val="annotation reference"/>
    <w:uiPriority w:val="99"/>
    <w:semiHidden/>
    <w:unhideWhenUsed/>
    <w:rsid w:val="00743CE5"/>
    <w:rPr>
      <w:sz w:val="16"/>
      <w:szCs w:val="16"/>
    </w:rPr>
  </w:style>
  <w:style w:type="paragraph" w:styleId="ac">
    <w:name w:val="annotation text"/>
    <w:basedOn w:val="a"/>
    <w:link w:val="ad"/>
    <w:uiPriority w:val="99"/>
    <w:semiHidden/>
    <w:unhideWhenUsed/>
    <w:rsid w:val="00743CE5"/>
    <w:pPr>
      <w:widowControl w:val="0"/>
      <w:autoSpaceDE w:val="0"/>
      <w:autoSpaceDN w:val="0"/>
      <w:adjustRightInd w:val="0"/>
      <w:spacing w:after="0" w:line="240" w:lineRule="auto"/>
    </w:pPr>
    <w:rPr>
      <w:rFonts w:ascii="Tahoma" w:eastAsia="Times New Roman" w:hAnsi="Tahoma" w:cs="Tahoma"/>
      <w:color w:val="000000"/>
      <w:sz w:val="20"/>
      <w:szCs w:val="20"/>
      <w:lang w:eastAsia="ru-RU" w:bidi="ru-RU"/>
    </w:rPr>
  </w:style>
  <w:style w:type="character" w:customStyle="1" w:styleId="ad">
    <w:name w:val="Текст примечания Знак"/>
    <w:basedOn w:val="a0"/>
    <w:link w:val="ac"/>
    <w:uiPriority w:val="99"/>
    <w:semiHidden/>
    <w:rsid w:val="00743CE5"/>
    <w:rPr>
      <w:rFonts w:ascii="Tahoma" w:eastAsia="Times New Roman" w:hAnsi="Tahoma" w:cs="Tahoma"/>
      <w:color w:val="000000"/>
      <w:sz w:val="20"/>
      <w:szCs w:val="20"/>
      <w:lang w:eastAsia="ru-RU" w:bidi="ru-RU"/>
    </w:rPr>
  </w:style>
  <w:style w:type="paragraph" w:styleId="ae">
    <w:name w:val="annotation subject"/>
    <w:basedOn w:val="ac"/>
    <w:next w:val="ac"/>
    <w:link w:val="af"/>
    <w:uiPriority w:val="99"/>
    <w:semiHidden/>
    <w:unhideWhenUsed/>
    <w:rsid w:val="00743CE5"/>
    <w:rPr>
      <w:b/>
      <w:bCs/>
    </w:rPr>
  </w:style>
  <w:style w:type="character" w:customStyle="1" w:styleId="af">
    <w:name w:val="Тема примечания Знак"/>
    <w:basedOn w:val="ad"/>
    <w:link w:val="ae"/>
    <w:uiPriority w:val="99"/>
    <w:semiHidden/>
    <w:rsid w:val="00743CE5"/>
    <w:rPr>
      <w:rFonts w:ascii="Tahoma" w:eastAsia="Times New Roman" w:hAnsi="Tahoma" w:cs="Tahoma"/>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8.xml"/><Relationship Id="rId21" Type="http://schemas.openxmlformats.org/officeDocument/2006/relationships/image" Target="media/image3.jpg"/><Relationship Id="rId42" Type="http://schemas.openxmlformats.org/officeDocument/2006/relationships/header" Target="header16.xml"/><Relationship Id="rId47" Type="http://schemas.openxmlformats.org/officeDocument/2006/relationships/footer" Target="footer19.xml"/><Relationship Id="rId63" Type="http://schemas.openxmlformats.org/officeDocument/2006/relationships/footer" Target="footer26.xml"/><Relationship Id="rId68" Type="http://schemas.openxmlformats.org/officeDocument/2006/relationships/image" Target="media/image4.png"/><Relationship Id="rId84" Type="http://schemas.openxmlformats.org/officeDocument/2006/relationships/footer" Target="footer35.xml"/><Relationship Id="rId89" Type="http://schemas.openxmlformats.org/officeDocument/2006/relationships/header" Target="header39.xml"/><Relationship Id="rId112" Type="http://schemas.openxmlformats.org/officeDocument/2006/relationships/header" Target="header54.xml"/><Relationship Id="rId133" Type="http://schemas.openxmlformats.org/officeDocument/2006/relationships/footer" Target="footer50.xml"/><Relationship Id="rId138" Type="http://schemas.openxmlformats.org/officeDocument/2006/relationships/footer" Target="footer52.xml"/><Relationship Id="rId16" Type="http://schemas.openxmlformats.org/officeDocument/2006/relationships/header" Target="header4.xml"/><Relationship Id="rId107" Type="http://schemas.openxmlformats.org/officeDocument/2006/relationships/footer" Target="footer43.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header" Target="header24.xml"/><Relationship Id="rId74" Type="http://schemas.openxmlformats.org/officeDocument/2006/relationships/footer" Target="footer30.xml"/><Relationship Id="rId79" Type="http://schemas.openxmlformats.org/officeDocument/2006/relationships/header" Target="header34.xml"/><Relationship Id="rId102" Type="http://schemas.openxmlformats.org/officeDocument/2006/relationships/header" Target="header48.xml"/><Relationship Id="rId123" Type="http://schemas.openxmlformats.org/officeDocument/2006/relationships/header" Target="header62.xml"/><Relationship Id="rId128" Type="http://schemas.openxmlformats.org/officeDocument/2006/relationships/header" Target="header66.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3.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eader" Target="header19.xml"/><Relationship Id="rId64" Type="http://schemas.openxmlformats.org/officeDocument/2006/relationships/header" Target="header28.xml"/><Relationship Id="rId69" Type="http://schemas.openxmlformats.org/officeDocument/2006/relationships/header" Target="header30.xml"/><Relationship Id="rId113" Type="http://schemas.openxmlformats.org/officeDocument/2006/relationships/header" Target="header55.xml"/><Relationship Id="rId118" Type="http://schemas.openxmlformats.org/officeDocument/2006/relationships/footer" Target="footer45.xml"/><Relationship Id="rId134" Type="http://schemas.openxmlformats.org/officeDocument/2006/relationships/header" Target="header69.xml"/><Relationship Id="rId139" Type="http://schemas.openxmlformats.org/officeDocument/2006/relationships/footer" Target="footer53.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image" Target="media/image6.jpg"/><Relationship Id="rId80" Type="http://schemas.openxmlformats.org/officeDocument/2006/relationships/footer" Target="footer33.xml"/><Relationship Id="rId85" Type="http://schemas.openxmlformats.org/officeDocument/2006/relationships/header" Target="header37.xml"/><Relationship Id="rId93" Type="http://schemas.openxmlformats.org/officeDocument/2006/relationships/header" Target="header42.xml"/><Relationship Id="rId98" Type="http://schemas.openxmlformats.org/officeDocument/2006/relationships/footer" Target="footer40.xml"/><Relationship Id="rId121"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5.xml"/><Relationship Id="rId67" Type="http://schemas.openxmlformats.org/officeDocument/2006/relationships/footer" Target="footer28.xml"/><Relationship Id="rId103" Type="http://schemas.openxmlformats.org/officeDocument/2006/relationships/footer" Target="footer42.xml"/><Relationship Id="rId108" Type="http://schemas.openxmlformats.org/officeDocument/2006/relationships/header" Target="header52.xml"/><Relationship Id="rId116" Type="http://schemas.openxmlformats.org/officeDocument/2006/relationships/header" Target="header57.xml"/><Relationship Id="rId124" Type="http://schemas.openxmlformats.org/officeDocument/2006/relationships/header" Target="header63.xml"/><Relationship Id="rId129" Type="http://schemas.openxmlformats.org/officeDocument/2006/relationships/header" Target="header67.xml"/><Relationship Id="rId137" Type="http://schemas.openxmlformats.org/officeDocument/2006/relationships/header" Target="header71.xml"/><Relationship Id="rId20" Type="http://schemas.openxmlformats.org/officeDocument/2006/relationships/image" Target="media/image2.jpg"/><Relationship Id="rId41" Type="http://schemas.openxmlformats.org/officeDocument/2006/relationships/footer" Target="footer16.xml"/><Relationship Id="rId54" Type="http://schemas.openxmlformats.org/officeDocument/2006/relationships/header" Target="header22.xml"/><Relationship Id="rId62" Type="http://schemas.openxmlformats.org/officeDocument/2006/relationships/header" Target="header27.xml"/><Relationship Id="rId70" Type="http://schemas.openxmlformats.org/officeDocument/2006/relationships/footer" Target="foot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37.xml"/><Relationship Id="rId91" Type="http://schemas.openxmlformats.org/officeDocument/2006/relationships/header" Target="header40.xml"/><Relationship Id="rId96" Type="http://schemas.openxmlformats.org/officeDocument/2006/relationships/header" Target="header44.xml"/><Relationship Id="rId111" Type="http://schemas.openxmlformats.org/officeDocument/2006/relationships/image" Target="media/image8.jpg"/><Relationship Id="rId132" Type="http://schemas.openxmlformats.org/officeDocument/2006/relationships/footer" Target="footer49.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51.xml"/><Relationship Id="rId114" Type="http://schemas.openxmlformats.org/officeDocument/2006/relationships/footer" Target="footer44.xml"/><Relationship Id="rId119" Type="http://schemas.openxmlformats.org/officeDocument/2006/relationships/header" Target="header59.xml"/><Relationship Id="rId127" Type="http://schemas.openxmlformats.org/officeDocument/2006/relationships/header" Target="header65.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1.xml"/><Relationship Id="rId78" Type="http://schemas.openxmlformats.org/officeDocument/2006/relationships/footer" Target="footer32.xml"/><Relationship Id="rId81" Type="http://schemas.openxmlformats.org/officeDocument/2006/relationships/header" Target="header35.xml"/><Relationship Id="rId86" Type="http://schemas.openxmlformats.org/officeDocument/2006/relationships/footer" Target="footer36.xml"/><Relationship Id="rId94" Type="http://schemas.openxmlformats.org/officeDocument/2006/relationships/footer" Target="footer39.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46.xml"/><Relationship Id="rId130" Type="http://schemas.openxmlformats.org/officeDocument/2006/relationships/footer" Target="footer48.xml"/><Relationship Id="rId135" Type="http://schemas.openxmlformats.org/officeDocument/2006/relationships/header" Target="header70.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header" Target="header53.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3.xml"/><Relationship Id="rId76" Type="http://schemas.openxmlformats.org/officeDocument/2006/relationships/footer" Target="footer31.xml"/><Relationship Id="rId97" Type="http://schemas.openxmlformats.org/officeDocument/2006/relationships/header" Target="header45.xml"/><Relationship Id="rId104" Type="http://schemas.openxmlformats.org/officeDocument/2006/relationships/header" Target="header49.xml"/><Relationship Id="rId120" Type="http://schemas.openxmlformats.org/officeDocument/2006/relationships/header" Target="header60.xml"/><Relationship Id="rId125" Type="http://schemas.openxmlformats.org/officeDocument/2006/relationships/header" Target="header64.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jpg"/><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header" Target="header38.xml"/><Relationship Id="rId110" Type="http://schemas.openxmlformats.org/officeDocument/2006/relationships/image" Target="media/image7.jpg"/><Relationship Id="rId115" Type="http://schemas.openxmlformats.org/officeDocument/2006/relationships/header" Target="header56.xml"/><Relationship Id="rId131" Type="http://schemas.openxmlformats.org/officeDocument/2006/relationships/header" Target="header68.xml"/><Relationship Id="rId136" Type="http://schemas.openxmlformats.org/officeDocument/2006/relationships/footer" Target="footer51.xml"/><Relationship Id="rId61" Type="http://schemas.openxmlformats.org/officeDocument/2006/relationships/header" Target="header26.xml"/><Relationship Id="rId82" Type="http://schemas.openxmlformats.org/officeDocument/2006/relationships/footer" Target="footer34.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3.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1.xml"/><Relationship Id="rId105" Type="http://schemas.openxmlformats.org/officeDocument/2006/relationships/header" Target="header50.xml"/><Relationship Id="rId126" Type="http://schemas.openxmlformats.org/officeDocument/2006/relationships/footer" Target="footer47.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1C60D-B567-47FE-945F-7E7DC4D4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202</Pages>
  <Words>61526</Words>
  <Characters>350702</Characters>
  <Application>Microsoft Office Word</Application>
  <DocSecurity>0</DocSecurity>
  <Lines>2922</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Турик Анна Александровна</dc:creator>
  <cp:lastModifiedBy>Турик Анна Александровна</cp:lastModifiedBy>
  <cp:revision>7</cp:revision>
  <cp:lastPrinted>2015-08-10T15:21:00Z</cp:lastPrinted>
  <dcterms:created xsi:type="dcterms:W3CDTF">2015-08-03T15:41:00Z</dcterms:created>
  <dcterms:modified xsi:type="dcterms:W3CDTF">2015-08-10T15:43:00Z</dcterms:modified>
</cp:coreProperties>
</file>