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0" w:rsidRDefault="00846950" w:rsidP="00846950">
      <w:pPr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</w:pPr>
      <w:r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>факте</w:t>
      </w:r>
      <w:proofErr w:type="gramEnd"/>
      <w:r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 xml:space="preserve"> о раскрытии эмитентом сводной бухгалтерской (консолидированной финансовой) отчетности, а также о предоставлении аудиторского заключения, подготовленного в отношении такой отчетности.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846950" w:rsidRPr="00846950" w:rsidTr="00E1223B">
        <w:tc>
          <w:tcPr>
            <w:tcW w:w="9356" w:type="dxa"/>
            <w:gridSpan w:val="2"/>
          </w:tcPr>
          <w:p w:rsidR="00E1223B" w:rsidRPr="00846950" w:rsidRDefault="00E1223B" w:rsidP="00F71C98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</w:rPr>
            </w:pPr>
            <w:bookmarkStart w:id="0" w:name="_GoBack"/>
            <w:bookmarkEnd w:id="0"/>
            <w:r w:rsidRPr="00846950">
              <w:rPr>
                <w:color w:val="262626" w:themeColor="text1" w:themeTint="D9"/>
                <w:sz w:val="18"/>
                <w:szCs w:val="18"/>
              </w:rPr>
              <w:t>1. Общие сведения</w:t>
            </w:r>
          </w:p>
        </w:tc>
      </w:tr>
      <w:tr w:rsidR="00846950" w:rsidRPr="00846950" w:rsidTr="00E1223B">
        <w:tc>
          <w:tcPr>
            <w:tcW w:w="4395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1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Закрытое акционерное общество «О</w:t>
            </w:r>
            <w:proofErr w:type="gramStart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846950" w:rsidRPr="00846950" w:rsidTr="00E1223B">
        <w:tc>
          <w:tcPr>
            <w:tcW w:w="4395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ЗАО «О</w:t>
            </w:r>
            <w:proofErr w:type="gramStart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846950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846950" w:rsidRPr="00846950" w:rsidTr="00E1223B">
        <w:tc>
          <w:tcPr>
            <w:tcW w:w="4395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 xml:space="preserve">Россия, 109052, г. Москва, ул. Нижегородская, д. 104, корп. 3 </w:t>
            </w:r>
          </w:p>
        </w:tc>
      </w:tr>
      <w:tr w:rsidR="00846950" w:rsidRPr="00846950" w:rsidTr="00E1223B">
        <w:tc>
          <w:tcPr>
            <w:tcW w:w="4395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1.4. ОГРН эмитента</w:t>
            </w:r>
          </w:p>
        </w:tc>
        <w:tc>
          <w:tcPr>
            <w:tcW w:w="4961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846950">
              <w:rPr>
                <w:rStyle w:val="-"/>
                <w:b w:val="0"/>
                <w:bCs/>
                <w:i w:val="0"/>
                <w:iCs/>
                <w:color w:val="262626" w:themeColor="text1" w:themeTint="D9"/>
                <w:sz w:val="18"/>
                <w:szCs w:val="18"/>
              </w:rPr>
              <w:t>1097746593394</w:t>
            </w:r>
          </w:p>
        </w:tc>
      </w:tr>
      <w:tr w:rsidR="00846950" w:rsidRPr="00846950" w:rsidTr="00E1223B">
        <w:tc>
          <w:tcPr>
            <w:tcW w:w="4395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1.5. ИНН эмитента</w:t>
            </w:r>
          </w:p>
        </w:tc>
        <w:tc>
          <w:tcPr>
            <w:tcW w:w="4961" w:type="dxa"/>
          </w:tcPr>
          <w:p w:rsidR="00E1223B" w:rsidRPr="00846950" w:rsidRDefault="00E1223B" w:rsidP="00F71C98">
            <w:pPr>
              <w:adjustRightInd w:val="0"/>
              <w:spacing w:after="0" w:line="240" w:lineRule="auto"/>
              <w:ind w:left="103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7722696870</w:t>
            </w:r>
          </w:p>
        </w:tc>
      </w:tr>
      <w:tr w:rsidR="00846950" w:rsidRPr="00846950" w:rsidTr="00E1223B">
        <w:tc>
          <w:tcPr>
            <w:tcW w:w="4395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  <w:vAlign w:val="center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  <w:lang w:val="en-US"/>
              </w:rPr>
              <w:t>71827-H</w:t>
            </w:r>
          </w:p>
        </w:tc>
      </w:tr>
      <w:tr w:rsidR="00846950" w:rsidRPr="00846950" w:rsidTr="00E1223B">
        <w:tc>
          <w:tcPr>
            <w:tcW w:w="4395" w:type="dxa"/>
          </w:tcPr>
          <w:p w:rsidR="00E1223B" w:rsidRPr="00846950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846950">
              <w:rPr>
                <w:color w:val="262626" w:themeColor="text1" w:themeTint="D9"/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1223B" w:rsidRPr="00846950" w:rsidRDefault="00846950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hyperlink r:id="rId5" w:history="1"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http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://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finance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o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1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properties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ru</w:t>
              </w:r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/</w:t>
              </w:r>
            </w:hyperlink>
            <w:r w:rsidR="00E1223B" w:rsidRPr="00846950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hyperlink r:id="rId6" w:history="1">
              <w:r w:rsidR="00E1223B" w:rsidRPr="00846950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http://www.e-disclosure.ru/portal/company.aspx?id=32658</w:t>
              </w:r>
            </w:hyperlink>
          </w:p>
        </w:tc>
      </w:tr>
    </w:tbl>
    <w:p w:rsidR="007A3799" w:rsidRPr="00846950" w:rsidRDefault="00E1223B" w:rsidP="00E1223B">
      <w:pPr>
        <w:pStyle w:val="O-BodyText"/>
        <w:spacing w:after="0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 Содержание сообщения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2.1 Вид бухгалтерской (финансовой) отчетности эмитента: промежуточная консолидированная финансовая.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2.2 Отчетный период, за который составлена консолидированная финансовая отчетность эмитента: за 6 месяцев 2014 года.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2.3 Стандарты финансовой отчетности, в соответствии с которыми составлена консолидированная финансовая отчетность: Международные стандарты финансовой отчетности (МСФО).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2.4 Сведения об аудиторе, подготовившем аудиторское заключение в отношении соответствующей консолидированной финансовой отчетности эмитента:</w:t>
      </w:r>
      <w:r w:rsidR="00846950" w:rsidRPr="00846950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Полное фирменное наименование: Закрытое акционерное общество «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ФИНЭКСПЕРТИЗА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»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Сокращенное фирменное наименование: </w:t>
      </w:r>
      <w:proofErr w:type="gramStart"/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ЗАО «ФИНЭКСПЕРТИЗА»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ИНН: 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7708096662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ОГРН: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1027739127734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Место нахождения: 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129110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, Москва, 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Проспект Мира, дом 69, строение 1.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2.5 Адрес страницы в сети Интернет, на которой эмитентом опубликован текст соответствующей консолидированной финансовой отчетности: </w:t>
      </w:r>
      <w:hyperlink r:id="rId7" w:history="1"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http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://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finance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.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o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1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properties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.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ru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/</w:t>
        </w:r>
      </w:hyperlink>
      <w:r w:rsidR="00846950" w:rsidRPr="00846950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 xml:space="preserve">, </w:t>
      </w:r>
      <w:hyperlink r:id="rId8" w:history="1">
        <w:proofErr w:type="gramEnd"/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http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://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www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.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e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-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disclosure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.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ru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/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portal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/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company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.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aspx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?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</w:rPr>
          <w:t>id</w:t>
        </w:r>
        <w:r w:rsidR="00846950" w:rsidRPr="00846950">
          <w:rPr>
            <w:rStyle w:val="a3"/>
            <w:rFonts w:asciiTheme="minorHAnsi" w:hAnsiTheme="minorHAnsi"/>
            <w:color w:val="262626" w:themeColor="text1" w:themeTint="D9"/>
            <w:sz w:val="18"/>
            <w:szCs w:val="18"/>
            <w:u w:val="none"/>
            <w:lang w:val="ru-RU"/>
          </w:rPr>
          <w:t>=32658</w:t>
        </w:r>
        <w:proofErr w:type="gramStart"/>
      </w:hyperlink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2.6 Дата опубликования эмитентом текста соответствующей консолидированной финансовой отчетности на странице в сети Интернет: 28 августа</w:t>
      </w:r>
      <w:proofErr w:type="gramEnd"/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2014 года.</w:t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 Подпись:</w:t>
      </w:r>
      <w:r w:rsidRPr="00846950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3.1. Генеральный директор Н.Г. Калашников</w:t>
      </w:r>
      <w:proofErr w:type="gramStart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proofErr w:type="gramEnd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п</w:t>
      </w:r>
      <w:proofErr w:type="gramEnd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одпись</w:t>
      </w:r>
      <w:proofErr w:type="spellEnd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) </w:t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3.2. </w:t>
      </w:r>
      <w:proofErr w:type="spellStart"/>
      <w:proofErr w:type="gramStart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Дата</w:t>
      </w:r>
      <w:proofErr w:type="spellEnd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“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28</w:t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” </w:t>
      </w:r>
      <w:r w:rsidR="00846950"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августа</w:t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2014г.</w:t>
      </w:r>
      <w:proofErr w:type="gramEnd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proofErr w:type="gramStart"/>
      <w:r w:rsidRPr="00846950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М.П.</w:t>
      </w:r>
      <w:proofErr w:type="gramEnd"/>
    </w:p>
    <w:sectPr w:rsidR="007A3799" w:rsidRPr="008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B"/>
    <w:rsid w:val="002923DC"/>
    <w:rsid w:val="007A3799"/>
    <w:rsid w:val="00846950"/>
    <w:rsid w:val="00B7170D"/>
    <w:rsid w:val="00E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2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ance.o1propertie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hyperlink" Target="http://finance.o1propertie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Khmyrov Petr</dc:creator>
  <cp:lastModifiedBy>Khmyrov Petr</cp:lastModifiedBy>
  <cp:revision>3</cp:revision>
  <dcterms:created xsi:type="dcterms:W3CDTF">2014-05-08T05:44:00Z</dcterms:created>
  <dcterms:modified xsi:type="dcterms:W3CDTF">2014-08-28T16:13:00Z</dcterms:modified>
</cp:coreProperties>
</file>